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color w:val="auto"/>
          <w:highlight w:val="none"/>
          <w:lang w:val="en-US" w:eastAsia="zh-CN"/>
        </w:rPr>
      </w:pPr>
      <w:bookmarkStart w:id="287" w:name="_GoBack"/>
      <w:bookmarkEnd w:id="287"/>
      <w:r>
        <w:rPr>
          <w:rFonts w:hint="eastAsia" w:asciiTheme="minorEastAsia" w:hAnsiTheme="minorEastAsia" w:eastAsiaTheme="minorEastAsia" w:cstheme="minorEastAsia"/>
          <w:color w:val="auto"/>
          <w:highlight w:val="none"/>
          <w:lang w:val="en-US" w:eastAsia="zh-CN"/>
        </w:rPr>
        <w:t xml:space="preserve"> </w:t>
      </w:r>
    </w:p>
    <w:p>
      <w:pPr>
        <w:jc w:val="left"/>
        <w:rPr>
          <w:rFonts w:hint="eastAsia" w:asciiTheme="minorEastAsia" w:hAnsiTheme="minorEastAsia" w:eastAsiaTheme="minorEastAsia" w:cstheme="minorEastAsia"/>
          <w:color w:val="auto"/>
          <w:highlight w:val="none"/>
        </w:rPr>
      </w:pPr>
    </w:p>
    <w:p>
      <w:pPr>
        <w:jc w:val="left"/>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竞争性比选文件</w:t>
      </w:r>
    </w:p>
    <w:p>
      <w:pPr>
        <w:spacing w:line="700" w:lineRule="exact"/>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32"/>
          <w:szCs w:val="32"/>
          <w:highlight w:val="none"/>
        </w:rPr>
        <w:t>（综合评分法）</w:t>
      </w:r>
    </w:p>
    <w:p>
      <w:pPr>
        <w:spacing w:line="700" w:lineRule="exact"/>
        <w:rPr>
          <w:rFonts w:hint="eastAsia" w:asciiTheme="minorEastAsia" w:hAnsiTheme="minorEastAsia" w:eastAsiaTheme="minorEastAsia" w:cstheme="minorEastAsia"/>
          <w:color w:val="auto"/>
          <w:sz w:val="32"/>
          <w:highlight w:val="none"/>
        </w:rPr>
      </w:pPr>
    </w:p>
    <w:p>
      <w:pPr>
        <w:rPr>
          <w:rFonts w:hint="eastAsia" w:asciiTheme="minorEastAsia" w:hAnsiTheme="minorEastAsia" w:eastAsiaTheme="minorEastAsia" w:cstheme="minorEastAsia"/>
          <w:color w:val="auto"/>
          <w:highlight w:val="none"/>
        </w:rPr>
      </w:pPr>
    </w:p>
    <w:p>
      <w:pPr>
        <w:spacing w:line="700" w:lineRule="exact"/>
        <w:rPr>
          <w:rFonts w:hint="eastAsia" w:asciiTheme="minorEastAsia" w:hAnsiTheme="minorEastAsia" w:eastAsiaTheme="minorEastAsia" w:cstheme="minorEastAsia"/>
          <w:color w:val="auto"/>
          <w:sz w:val="32"/>
          <w:highlight w:val="none"/>
        </w:rPr>
      </w:pPr>
    </w:p>
    <w:p>
      <w:pPr>
        <w:pStyle w:val="22"/>
        <w:rPr>
          <w:rFonts w:hint="eastAsia" w:asciiTheme="minorEastAsia" w:hAnsiTheme="minorEastAsia" w:eastAsiaTheme="minorEastAsia" w:cstheme="minorEastAsia"/>
          <w:color w:val="auto"/>
          <w:highlight w:val="none"/>
        </w:rPr>
      </w:pPr>
    </w:p>
    <w:p>
      <w:pPr>
        <w:spacing w:line="500" w:lineRule="exact"/>
        <w:ind w:firstLine="320" w:firstLineChars="100"/>
        <w:outlineLvl w:val="0"/>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项目编号：HC-CQZC-2025招字025</w:t>
      </w:r>
    </w:p>
    <w:p>
      <w:pPr>
        <w:spacing w:line="500" w:lineRule="exact"/>
        <w:ind w:left="1958" w:leftChars="128" w:hanging="1600" w:hangingChars="500"/>
        <w:jc w:val="left"/>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bidi="ar-SA"/>
        </w:rPr>
        <w:t>项目名称：重庆园博园主入口室外停车场充电桩项目（重新招标）</w:t>
      </w:r>
    </w:p>
    <w:p>
      <w:pPr>
        <w:pStyle w:val="22"/>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color w:val="auto"/>
          <w:sz w:val="32"/>
          <w:szCs w:val="32"/>
          <w:highlight w:val="none"/>
        </w:rPr>
      </w:pPr>
    </w:p>
    <w:p>
      <w:pPr>
        <w:pStyle w:val="22"/>
        <w:rPr>
          <w:rFonts w:hint="eastAsia" w:asciiTheme="minorEastAsia" w:hAnsiTheme="minorEastAsia" w:eastAsiaTheme="minorEastAsia" w:cstheme="minorEastAsia"/>
          <w:color w:val="auto"/>
          <w:sz w:val="32"/>
          <w:szCs w:val="32"/>
          <w:highlight w:val="none"/>
        </w:rPr>
      </w:pPr>
    </w:p>
    <w:p>
      <w:pPr>
        <w:pStyle w:val="82"/>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b/>
          <w:color w:val="auto"/>
          <w:sz w:val="32"/>
          <w:szCs w:val="32"/>
          <w:highlight w:val="none"/>
        </w:rPr>
      </w:pPr>
    </w:p>
    <w:p>
      <w:pPr>
        <w:spacing w:line="500" w:lineRule="exact"/>
        <w:ind w:firstLine="960" w:firstLineChars="300"/>
        <w:outlineLvl w:val="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 xml:space="preserve">比   选   </w:t>
      </w:r>
      <w:r>
        <w:rPr>
          <w:rFonts w:hint="eastAsia" w:asciiTheme="minorEastAsia" w:hAnsiTheme="minorEastAsia" w:eastAsiaTheme="minorEastAsia" w:cstheme="minorEastAsia"/>
          <w:color w:val="auto"/>
          <w:sz w:val="32"/>
          <w:szCs w:val="32"/>
          <w:highlight w:val="none"/>
        </w:rPr>
        <w:t>人：</w:t>
      </w:r>
      <w:r>
        <w:rPr>
          <w:rFonts w:hint="eastAsia" w:asciiTheme="minorEastAsia" w:hAnsiTheme="minorEastAsia" w:eastAsiaTheme="minorEastAsia" w:cstheme="minorEastAsia"/>
          <w:color w:val="auto"/>
          <w:sz w:val="32"/>
          <w:szCs w:val="32"/>
          <w:highlight w:val="none"/>
          <w:lang w:eastAsia="zh-CN"/>
        </w:rPr>
        <w:t>重庆市园博园管理处</w:t>
      </w:r>
    </w:p>
    <w:p>
      <w:pPr>
        <w:spacing w:line="500" w:lineRule="exact"/>
        <w:ind w:firstLine="960" w:firstLineChars="300"/>
        <w:outlineLvl w:val="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比选代理机构</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华春建设工程项目管理有限责任公司</w:t>
      </w:r>
    </w:p>
    <w:p>
      <w:pPr>
        <w:spacing w:line="720" w:lineRule="exact"/>
        <w:jc w:val="center"/>
        <w:outlineLvl w:val="0"/>
        <w:rPr>
          <w:rFonts w:hint="eastAsia" w:asciiTheme="minorEastAsia" w:hAnsiTheme="minorEastAsia" w:eastAsiaTheme="minorEastAsia" w:cstheme="minorEastAsia"/>
          <w:color w:val="auto"/>
          <w:sz w:val="32"/>
          <w:szCs w:val="32"/>
          <w:highlight w:val="none"/>
        </w:rPr>
      </w:pPr>
    </w:p>
    <w:p>
      <w:pPr>
        <w:spacing w:line="720" w:lineRule="exact"/>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二〇二</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月</w:t>
      </w:r>
    </w:p>
    <w:p>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docGrid w:linePitch="381" w:charSpace="-5735"/>
        </w:sectPr>
      </w:pPr>
    </w:p>
    <w:p>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pPr>
        <w:pStyle w:val="48"/>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_Toc29051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_Toc29051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_Toc29419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一、竞争性比选内容</w:t>
      </w:r>
      <w:r>
        <w:rPr>
          <w:color w:val="auto"/>
          <w:highlight w:val="none"/>
        </w:rPr>
        <w:tab/>
      </w:r>
      <w:r>
        <w:rPr>
          <w:color w:val="auto"/>
          <w:highlight w:val="none"/>
        </w:rPr>
        <w:fldChar w:fldCharType="begin"/>
      </w:r>
      <w:r>
        <w:rPr>
          <w:color w:val="auto"/>
          <w:highlight w:val="none"/>
        </w:rPr>
        <w:instrText xml:space="preserve"> PAGEREF _Toc29419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_Toc27603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二</w:t>
      </w:r>
      <w:r>
        <w:rPr>
          <w:rFonts w:hint="eastAsia" w:asciiTheme="minorEastAsia" w:hAnsiTheme="minorEastAsia" w:eastAsiaTheme="minorEastAsia" w:cstheme="minorEastAsia"/>
          <w:color w:val="auto"/>
          <w:highlight w:val="none"/>
        </w:rPr>
        <w:t>、供应商资格条件</w:t>
      </w:r>
      <w:r>
        <w:rPr>
          <w:color w:val="auto"/>
          <w:highlight w:val="none"/>
        </w:rPr>
        <w:tab/>
      </w:r>
      <w:r>
        <w:rPr>
          <w:color w:val="auto"/>
          <w:highlight w:val="none"/>
        </w:rPr>
        <w:fldChar w:fldCharType="begin"/>
      </w:r>
      <w:r>
        <w:rPr>
          <w:color w:val="auto"/>
          <w:highlight w:val="none"/>
        </w:rPr>
        <w:instrText xml:space="preserve"> PAGEREF _Toc27603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_Toc4536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highlight w:val="none"/>
        </w:rPr>
        <w:t>、比选采购有关说明</w:t>
      </w:r>
      <w:r>
        <w:rPr>
          <w:color w:val="auto"/>
          <w:highlight w:val="none"/>
        </w:rPr>
        <w:tab/>
      </w:r>
      <w:r>
        <w:rPr>
          <w:color w:val="auto"/>
          <w:highlight w:val="none"/>
        </w:rPr>
        <w:fldChar w:fldCharType="begin"/>
      </w:r>
      <w:r>
        <w:rPr>
          <w:color w:val="auto"/>
          <w:highlight w:val="none"/>
        </w:rPr>
        <w:instrText xml:space="preserve"> PAGEREF _Toc4536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_Toc15409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_Toc15409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_Toc2811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highlight w:val="none"/>
        </w:rPr>
        <w:t>、其它有关规定</w:t>
      </w:r>
      <w:r>
        <w:rPr>
          <w:color w:val="auto"/>
          <w:highlight w:val="none"/>
        </w:rPr>
        <w:tab/>
      </w:r>
      <w:r>
        <w:rPr>
          <w:color w:val="auto"/>
          <w:highlight w:val="none"/>
        </w:rPr>
        <w:fldChar w:fldCharType="begin"/>
      </w:r>
      <w:r>
        <w:rPr>
          <w:color w:val="auto"/>
          <w:highlight w:val="none"/>
        </w:rPr>
        <w:instrText xml:space="preserve"> PAGEREF _Toc2811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_Toc3054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_Toc3054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_Toc31059 \h </w:instrText>
      </w:r>
      <w:r>
        <w:rPr>
          <w:color w:val="auto"/>
          <w:highlight w:val="none"/>
        </w:rPr>
        <w:fldChar w:fldCharType="separate"/>
      </w:r>
      <w:r>
        <w:rPr>
          <w:color w:val="auto"/>
          <w:highlight w:val="none"/>
        </w:rPr>
        <w:t>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_Toc9443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_Toc9443 \h </w:instrText>
      </w:r>
      <w:r>
        <w:rPr>
          <w:color w:val="auto"/>
          <w:highlight w:val="none"/>
        </w:rPr>
        <w:fldChar w:fldCharType="separate"/>
      </w:r>
      <w:r>
        <w:rPr>
          <w:color w:val="auto"/>
          <w:highlight w:val="none"/>
        </w:rPr>
        <w:t>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_Toc20812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第四篇  比选程序及方法、评审标准、无效响应和</w:t>
      </w:r>
      <w:r>
        <w:rPr>
          <w:rFonts w:hint="eastAsia" w:asciiTheme="minorEastAsia" w:hAnsiTheme="minorEastAsia" w:eastAsiaTheme="minorEastAsia" w:cstheme="minorEastAsia"/>
          <w:bCs/>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_Toc20812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一、比选程序及方法</w:t>
      </w:r>
      <w:r>
        <w:rPr>
          <w:color w:val="auto"/>
          <w:highlight w:val="none"/>
        </w:rPr>
        <w:tab/>
      </w:r>
      <w:r>
        <w:rPr>
          <w:color w:val="auto"/>
          <w:highlight w:val="none"/>
        </w:rPr>
        <w:fldChar w:fldCharType="begin"/>
      </w:r>
      <w:r>
        <w:rPr>
          <w:color w:val="auto"/>
          <w:highlight w:val="none"/>
        </w:rPr>
        <w:instrText xml:space="preserve"> PAGEREF _Toc31047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_Toc15678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_Toc15678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_Toc8592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_Toc8592 \h </w:instrText>
      </w:r>
      <w:r>
        <w:rPr>
          <w:color w:val="auto"/>
          <w:highlight w:val="none"/>
        </w:rPr>
        <w:fldChar w:fldCharType="separate"/>
      </w:r>
      <w:r>
        <w:rPr>
          <w:color w:val="auto"/>
          <w:highlight w:val="none"/>
        </w:rPr>
        <w:t>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_Toc30757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_Toc30757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_Toc27960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_Toc27960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_Toc22841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一、比选费用</w:t>
      </w:r>
      <w:r>
        <w:rPr>
          <w:color w:val="auto"/>
          <w:highlight w:val="none"/>
        </w:rPr>
        <w:tab/>
      </w:r>
      <w:r>
        <w:rPr>
          <w:color w:val="auto"/>
          <w:highlight w:val="none"/>
        </w:rPr>
        <w:fldChar w:fldCharType="begin"/>
      </w:r>
      <w:r>
        <w:rPr>
          <w:color w:val="auto"/>
          <w:highlight w:val="none"/>
        </w:rPr>
        <w:instrText xml:space="preserve"> PAGEREF _Toc22841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_Toc21109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二、竞争性比选文件</w:t>
      </w:r>
      <w:r>
        <w:rPr>
          <w:color w:val="auto"/>
          <w:highlight w:val="none"/>
        </w:rPr>
        <w:tab/>
      </w:r>
      <w:r>
        <w:rPr>
          <w:color w:val="auto"/>
          <w:highlight w:val="none"/>
        </w:rPr>
        <w:fldChar w:fldCharType="begin"/>
      </w:r>
      <w:r>
        <w:rPr>
          <w:color w:val="auto"/>
          <w:highlight w:val="none"/>
        </w:rPr>
        <w:instrText xml:space="preserve"> PAGEREF _Toc21109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三、参选要求</w:t>
      </w:r>
      <w:r>
        <w:rPr>
          <w:color w:val="auto"/>
          <w:highlight w:val="none"/>
        </w:rPr>
        <w:tab/>
      </w:r>
      <w:r>
        <w:rPr>
          <w:color w:val="auto"/>
          <w:highlight w:val="none"/>
        </w:rPr>
        <w:fldChar w:fldCharType="begin"/>
      </w:r>
      <w:r>
        <w:rPr>
          <w:color w:val="auto"/>
          <w:highlight w:val="none"/>
        </w:rPr>
        <w:instrText xml:space="preserve"> PAGEREF _Toc4662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_Toc26377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eastAsia="zh-CN"/>
        </w:rPr>
        <w:t>成交供应商</w:t>
      </w:r>
      <w:r>
        <w:rPr>
          <w:rFonts w:hint="eastAsia" w:asciiTheme="minorEastAsia" w:hAnsiTheme="minorEastAsia" w:eastAsiaTheme="minorEastAsia" w:cstheme="minorEastAsia"/>
          <w:color w:val="auto"/>
          <w:highlight w:val="none"/>
        </w:rPr>
        <w:t>的确认和变更</w:t>
      </w:r>
      <w:r>
        <w:rPr>
          <w:color w:val="auto"/>
          <w:highlight w:val="none"/>
        </w:rPr>
        <w:tab/>
      </w:r>
      <w:r>
        <w:rPr>
          <w:color w:val="auto"/>
          <w:highlight w:val="none"/>
        </w:rPr>
        <w:fldChar w:fldCharType="begin"/>
      </w:r>
      <w:r>
        <w:rPr>
          <w:color w:val="auto"/>
          <w:highlight w:val="none"/>
        </w:rPr>
        <w:instrText xml:space="preserve"> PAGEREF _Toc26377 \h </w:instrText>
      </w:r>
      <w:r>
        <w:rPr>
          <w:color w:val="auto"/>
          <w:highlight w:val="none"/>
        </w:rPr>
        <w:fldChar w:fldCharType="separate"/>
      </w:r>
      <w:r>
        <w:rPr>
          <w:color w:val="auto"/>
          <w:highlight w:val="none"/>
        </w:rPr>
        <w:t>14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_Toc10489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_Toc10489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_Toc27612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_Toc27612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_Toc27468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_Toc27468 \h </w:instrText>
      </w:r>
      <w:r>
        <w:rPr>
          <w:color w:val="auto"/>
          <w:highlight w:val="none"/>
        </w:rPr>
        <w:fldChar w:fldCharType="separate"/>
      </w:r>
      <w:r>
        <w:rPr>
          <w:color w:val="auto"/>
          <w:highlight w:val="none"/>
        </w:rPr>
        <w:t>16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_Toc11813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16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_Toc5582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lang w:val="en-US" w:eastAsia="zh-CN"/>
        </w:rPr>
        <w:t>第六篇 采购合同（参考）</w:t>
      </w:r>
      <w:r>
        <w:rPr>
          <w:color w:val="auto"/>
          <w:highlight w:val="none"/>
        </w:rPr>
        <w:tab/>
      </w:r>
      <w:r>
        <w:rPr>
          <w:color w:val="auto"/>
          <w:highlight w:val="none"/>
        </w:rPr>
        <w:fldChar w:fldCharType="begin"/>
      </w:r>
      <w:r>
        <w:rPr>
          <w:color w:val="auto"/>
          <w:highlight w:val="none"/>
        </w:rPr>
        <w:instrText xml:space="preserve"> PAGEREF _Toc5582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_Toc13094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szCs w:val="36"/>
          <w:highlight w:val="none"/>
          <w:lang w:val="en-US" w:eastAsia="zh-CN"/>
        </w:rPr>
        <w:t>七</w:t>
      </w:r>
      <w:r>
        <w:rPr>
          <w:rFonts w:hint="eastAsia" w:asciiTheme="minorEastAsia" w:hAnsiTheme="minorEastAsia" w:eastAsiaTheme="minorEastAsia" w:cstheme="minorEastAsia"/>
          <w:color w:val="auto"/>
          <w:szCs w:val="36"/>
          <w:highlight w:val="none"/>
        </w:rPr>
        <w:t xml:space="preserve">篇  </w:t>
      </w:r>
      <w:r>
        <w:rPr>
          <w:rFonts w:hint="eastAsia" w:asciiTheme="minorEastAsia" w:hAnsiTheme="minorEastAsia" w:eastAsiaTheme="minorEastAsia" w:cstheme="minorEastAsia"/>
          <w:bCs/>
          <w:color w:val="auto"/>
          <w:szCs w:val="30"/>
          <w:highlight w:val="none"/>
        </w:rPr>
        <w:t>响应文件编制要求</w:t>
      </w:r>
      <w:r>
        <w:rPr>
          <w:color w:val="auto"/>
          <w:highlight w:val="none"/>
        </w:rPr>
        <w:tab/>
      </w:r>
      <w:r>
        <w:rPr>
          <w:color w:val="auto"/>
          <w:highlight w:val="none"/>
        </w:rPr>
        <w:fldChar w:fldCharType="begin"/>
      </w:r>
      <w:r>
        <w:rPr>
          <w:color w:val="auto"/>
          <w:highlight w:val="none"/>
        </w:rPr>
        <w:instrText xml:space="preserve"> PAGEREF _Toc13094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_Toc28503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_Toc28503 \h </w:instrText>
      </w:r>
      <w:r>
        <w:rPr>
          <w:color w:val="auto"/>
          <w:highlight w:val="none"/>
        </w:rPr>
        <w:fldChar w:fldCharType="separate"/>
      </w:r>
      <w:r>
        <w:rPr>
          <w:color w:val="auto"/>
          <w:highlight w:val="none"/>
        </w:rPr>
        <w:t>19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_Toc2697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_Toc2697 \h </w:instrText>
      </w:r>
      <w:r>
        <w:rPr>
          <w:color w:val="auto"/>
          <w:highlight w:val="none"/>
        </w:rPr>
        <w:fldChar w:fldCharType="separate"/>
      </w:r>
      <w:r>
        <w:rPr>
          <w:color w:val="auto"/>
          <w:highlight w:val="none"/>
        </w:rPr>
        <w:t>20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_Toc25678 \h </w:instrText>
      </w:r>
      <w:r>
        <w:rPr>
          <w:color w:val="auto"/>
          <w:highlight w:val="none"/>
        </w:rPr>
        <w:fldChar w:fldCharType="separate"/>
      </w:r>
      <w:r>
        <w:rPr>
          <w:color w:val="auto"/>
          <w:highlight w:val="none"/>
        </w:rPr>
        <w:t>23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_Toc17631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_Toc17631 \h </w:instrText>
      </w:r>
      <w:r>
        <w:rPr>
          <w:color w:val="auto"/>
          <w:highlight w:val="none"/>
        </w:rPr>
        <w:fldChar w:fldCharType="separate"/>
      </w:r>
      <w:r>
        <w:rPr>
          <w:color w:val="auto"/>
          <w:highlight w:val="none"/>
        </w:rPr>
        <w:t>25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_Toc18881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_Toc18881 \h </w:instrText>
      </w:r>
      <w:r>
        <w:rPr>
          <w:color w:val="auto"/>
          <w:highlight w:val="none"/>
        </w:rPr>
        <w:fldChar w:fldCharType="separate"/>
      </w:r>
      <w:r>
        <w:rPr>
          <w:color w:val="auto"/>
          <w:highlight w:val="none"/>
        </w:rPr>
        <w:t>29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footerReference r:id="rId8" w:type="default"/>
          <w:pgSz w:w="11907" w:h="16840"/>
          <w:pgMar w:top="1134" w:right="1191" w:bottom="1134" w:left="1304" w:header="851" w:footer="992" w:gutter="0"/>
          <w:pgNumType w:fmt="decimal"/>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pPr>
        <w:pStyle w:val="4"/>
        <w:spacing w:line="360" w:lineRule="auto"/>
        <w:jc w:val="center"/>
        <w:rPr>
          <w:rFonts w:hint="eastAsia" w:asciiTheme="minorEastAsia" w:hAnsiTheme="minorEastAsia" w:eastAsiaTheme="minorEastAsia" w:cstheme="minorEastAsia"/>
          <w:bCs/>
          <w:color w:val="auto"/>
          <w:szCs w:val="30"/>
          <w:highlight w:val="none"/>
        </w:rPr>
      </w:pPr>
      <w:bookmarkStart w:id="0" w:name="_Toc11641050"/>
      <w:bookmarkEnd w:id="0"/>
      <w:bookmarkStart w:id="1" w:name="_Toc106030870"/>
      <w:bookmarkEnd w:id="1"/>
      <w:bookmarkStart w:id="2" w:name="_Toc7314"/>
      <w:bookmarkEnd w:id="2"/>
      <w:bookmarkStart w:id="3" w:name="_Toc76462316"/>
      <w:bookmarkEnd w:id="3"/>
      <w:bookmarkStart w:id="4" w:name="_Toc12789052"/>
      <w:bookmarkEnd w:id="4"/>
      <w:bookmarkStart w:id="5" w:name="_Toc16374"/>
      <w:bookmarkStart w:id="6" w:name="_Toc29051"/>
      <w:bookmarkStart w:id="7" w:name="_Toc15468"/>
      <w:r>
        <w:rPr>
          <w:rFonts w:hint="eastAsia" w:asciiTheme="minorEastAsia" w:hAnsiTheme="minorEastAsia" w:eastAsiaTheme="minorEastAsia" w:cstheme="minorEastAsia"/>
          <w:bCs/>
          <w:color w:val="auto"/>
          <w:sz w:val="36"/>
          <w:szCs w:val="30"/>
          <w:highlight w:val="none"/>
        </w:rPr>
        <w:t>第一篇  采购邀请书</w:t>
      </w:r>
      <w:bookmarkEnd w:id="5"/>
      <w:bookmarkEnd w:id="6"/>
      <w:bookmarkEnd w:id="7"/>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华春建设工程项目管理有限责任公司</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）接受</w:t>
      </w:r>
      <w:r>
        <w:rPr>
          <w:rFonts w:hint="eastAsia" w:asciiTheme="minorEastAsia" w:hAnsiTheme="minorEastAsia" w:eastAsiaTheme="minorEastAsia" w:cstheme="minorEastAsia"/>
          <w:color w:val="auto"/>
          <w:sz w:val="24"/>
          <w:szCs w:val="24"/>
          <w:highlight w:val="none"/>
          <w:u w:val="single"/>
          <w:lang w:eastAsia="zh-CN"/>
        </w:rPr>
        <w:t>重庆市园博园管理处</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）的委托，对</w:t>
      </w:r>
      <w:r>
        <w:rPr>
          <w:rFonts w:hint="eastAsia" w:asciiTheme="minorEastAsia" w:hAnsiTheme="minorEastAsia" w:eastAsiaTheme="minorEastAsia" w:cstheme="minorEastAsia"/>
          <w:color w:val="auto"/>
          <w:sz w:val="24"/>
          <w:szCs w:val="24"/>
          <w:highlight w:val="none"/>
          <w:u w:val="single"/>
          <w:lang w:eastAsia="zh-CN"/>
        </w:rPr>
        <w:t>重庆园博园主入口室外停车场充电桩项目（重新招标）</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rPr>
        <w:t>比选采购。欢迎有资格的供应商前来参与比选。</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 w:name="_Toc111"/>
      <w:bookmarkEnd w:id="8"/>
      <w:bookmarkStart w:id="9" w:name="_Toc313893526"/>
      <w:bookmarkEnd w:id="9"/>
      <w:bookmarkStart w:id="10" w:name="_Toc317775175"/>
      <w:bookmarkEnd w:id="10"/>
      <w:bookmarkStart w:id="11" w:name="_Toc106030871"/>
      <w:bookmarkEnd w:id="11"/>
      <w:bookmarkStart w:id="12" w:name="_Toc76462317"/>
      <w:bookmarkEnd w:id="12"/>
      <w:bookmarkStart w:id="13" w:name="_Toc15457"/>
      <w:bookmarkStart w:id="14" w:name="_Toc29419"/>
      <w:bookmarkStart w:id="15" w:name="_Toc25655"/>
      <w:r>
        <w:rPr>
          <w:rFonts w:hint="eastAsia" w:asciiTheme="minorEastAsia" w:hAnsiTheme="minorEastAsia" w:eastAsiaTheme="minorEastAsia" w:cstheme="minorEastAsia"/>
          <w:color w:val="auto"/>
          <w:sz w:val="24"/>
          <w:highlight w:val="none"/>
        </w:rPr>
        <w:t>一、竞争性比选内容</w:t>
      </w:r>
      <w:bookmarkEnd w:id="13"/>
      <w:bookmarkEnd w:id="14"/>
      <w:bookmarkEnd w:id="15"/>
    </w:p>
    <w:tbl>
      <w:tblPr>
        <w:tblStyle w:val="60"/>
        <w:tblW w:w="52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1"/>
        <w:gridCol w:w="1304"/>
        <w:gridCol w:w="1816"/>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96"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4"/>
                <w:highlight w:val="none"/>
              </w:rPr>
            </w:pPr>
            <w:bookmarkStart w:id="16" w:name="_Toc21035"/>
            <w:bookmarkEnd w:id="16"/>
            <w:bookmarkStart w:id="17" w:name="_Toc76462318"/>
            <w:bookmarkEnd w:id="17"/>
            <w:bookmarkStart w:id="18" w:name="_Toc29613"/>
            <w:bookmarkEnd w:id="18"/>
            <w:bookmarkStart w:id="19" w:name="_Toc106030872"/>
            <w:bookmarkEnd w:id="19"/>
            <w:bookmarkStart w:id="20" w:name="_Toc76462319"/>
            <w:bookmarkEnd w:id="20"/>
            <w:bookmarkStart w:id="21" w:name="_Toc106030873"/>
            <w:bookmarkEnd w:id="21"/>
            <w:bookmarkStart w:id="22" w:name="_Toc12739"/>
            <w:bookmarkStart w:id="23" w:name="_Toc17979"/>
            <w:bookmarkStart w:id="24" w:name="_Toc27603"/>
            <w:bookmarkStart w:id="25" w:name="_Toc373860293"/>
            <w:bookmarkStart w:id="26" w:name="_Toc317775178"/>
            <w:r>
              <w:rPr>
                <w:rFonts w:hint="eastAsia" w:ascii="宋体" w:hAnsi="宋体" w:eastAsia="宋体" w:cs="宋体"/>
                <w:b/>
                <w:bCs/>
                <w:kern w:val="0"/>
                <w:sz w:val="21"/>
                <w:szCs w:val="24"/>
                <w:highlight w:val="none"/>
                <w:lang w:val="en-US" w:eastAsia="zh-CN"/>
              </w:rPr>
              <w:t>项目</w:t>
            </w:r>
            <w:r>
              <w:rPr>
                <w:rFonts w:hint="eastAsia" w:ascii="宋体" w:hAnsi="宋体" w:eastAsia="宋体" w:cs="宋体"/>
                <w:b/>
                <w:bCs/>
                <w:kern w:val="0"/>
                <w:sz w:val="21"/>
                <w:szCs w:val="24"/>
                <w:highlight w:val="none"/>
              </w:rPr>
              <w:t>名称</w:t>
            </w:r>
          </w:p>
        </w:tc>
        <w:tc>
          <w:tcPr>
            <w:tcW w:w="647"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rPr>
              <w:t>最</w:t>
            </w:r>
            <w:r>
              <w:rPr>
                <w:rFonts w:hint="eastAsia" w:ascii="宋体" w:hAnsi="宋体" w:eastAsia="宋体" w:cs="宋体"/>
                <w:b/>
                <w:bCs/>
                <w:kern w:val="0"/>
                <w:sz w:val="21"/>
                <w:szCs w:val="24"/>
                <w:highlight w:val="none"/>
                <w:lang w:val="en-US" w:eastAsia="zh-CN"/>
              </w:rPr>
              <w:t>低</w:t>
            </w:r>
            <w:r>
              <w:rPr>
                <w:rFonts w:hint="eastAsia" w:ascii="宋体" w:hAnsi="宋体" w:eastAsia="宋体" w:cs="宋体"/>
                <w:b/>
                <w:bCs/>
                <w:kern w:val="0"/>
                <w:sz w:val="21"/>
                <w:szCs w:val="24"/>
                <w:highlight w:val="none"/>
              </w:rPr>
              <w:t>限价（万元</w:t>
            </w:r>
            <w:r>
              <w:rPr>
                <w:rFonts w:hint="eastAsia" w:ascii="宋体" w:hAnsi="宋体" w:eastAsia="宋体" w:cs="宋体"/>
                <w:b/>
                <w:bCs/>
                <w:kern w:val="0"/>
                <w:sz w:val="21"/>
                <w:szCs w:val="24"/>
                <w:highlight w:val="none"/>
                <w:lang w:val="en-US" w:eastAsia="zh-CN"/>
              </w:rPr>
              <w:t>/年</w:t>
            </w:r>
            <w:r>
              <w:rPr>
                <w:rFonts w:hint="eastAsia" w:ascii="宋体" w:hAnsi="宋体" w:eastAsia="宋体" w:cs="宋体"/>
                <w:b/>
                <w:bCs/>
                <w:kern w:val="0"/>
                <w:sz w:val="21"/>
                <w:szCs w:val="24"/>
                <w:highlight w:val="none"/>
              </w:rPr>
              <w:t>）</w:t>
            </w:r>
          </w:p>
        </w:tc>
        <w:tc>
          <w:tcPr>
            <w:tcW w:w="901"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rPr>
              <w:t>成交供应商数量（名）</w:t>
            </w:r>
          </w:p>
        </w:tc>
        <w:tc>
          <w:tcPr>
            <w:tcW w:w="1454"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9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4"/>
                <w:highlight w:val="none"/>
                <w:lang w:eastAsia="zh-CN"/>
              </w:rPr>
            </w:pPr>
            <w:r>
              <w:rPr>
                <w:rFonts w:hint="eastAsia" w:ascii="宋体" w:hAnsi="宋体" w:cs="宋体"/>
                <w:kern w:val="0"/>
                <w:sz w:val="21"/>
                <w:szCs w:val="24"/>
                <w:highlight w:val="none"/>
                <w:lang w:eastAsia="zh-CN"/>
              </w:rPr>
              <w:t>重庆园博园主入口室外停车场充电桩项目（重新招标）</w:t>
            </w:r>
          </w:p>
        </w:tc>
        <w:tc>
          <w:tcPr>
            <w:tcW w:w="64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highlight w:val="none"/>
              </w:rPr>
            </w:pPr>
            <w:r>
              <w:rPr>
                <w:rFonts w:hint="eastAsia" w:ascii="宋体" w:hAnsi="宋体" w:eastAsia="宋体" w:cs="宋体"/>
                <w:sz w:val="21"/>
                <w:szCs w:val="21"/>
                <w:highlight w:val="none"/>
                <w:lang w:val="en-US" w:eastAsia="zh-CN"/>
              </w:rPr>
              <w:t>4.5</w:t>
            </w:r>
          </w:p>
        </w:tc>
        <w:tc>
          <w:tcPr>
            <w:tcW w:w="90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c>
          <w:tcPr>
            <w:tcW w:w="145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采取纯租赁的形式，充电桩不低于18个，合作期5年。</w:t>
            </w:r>
          </w:p>
        </w:tc>
      </w:tr>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、供应商资格条件</w:t>
      </w:r>
      <w:bookmarkEnd w:id="22"/>
      <w:bookmarkEnd w:id="23"/>
      <w:bookmarkEnd w:id="24"/>
    </w:p>
    <w:bookmarkEnd w:id="25"/>
    <w:p>
      <w:pPr>
        <w:spacing w:line="400" w:lineRule="exact"/>
        <w:ind w:firstLine="480" w:firstLineChars="200"/>
        <w:rPr>
          <w:rFonts w:hint="eastAsia" w:ascii="宋体" w:hAnsi="宋体" w:cs="宋体"/>
          <w:color w:val="auto"/>
          <w:sz w:val="24"/>
          <w:szCs w:val="24"/>
          <w:highlight w:val="none"/>
        </w:rPr>
      </w:pPr>
      <w:bookmarkStart w:id="27" w:name="_Toc24313"/>
      <w:bookmarkEnd w:id="27"/>
      <w:bookmarkStart w:id="28" w:name="_Toc106030874"/>
      <w:bookmarkEnd w:id="28"/>
      <w:bookmarkStart w:id="29" w:name="_Toc76462320"/>
      <w:bookmarkEnd w:id="29"/>
      <w:r>
        <w:rPr>
          <w:rFonts w:hint="eastAsia" w:ascii="宋体" w:hAnsi="宋体" w:cs="宋体"/>
          <w:color w:val="auto"/>
          <w:sz w:val="24"/>
          <w:szCs w:val="24"/>
          <w:highlight w:val="none"/>
        </w:rPr>
        <w:t>（一）满足《中华人民共和国政府采购法》第二十二条规定；</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（二）落实政府采购政策需满足的资格要求：无。</w:t>
      </w:r>
    </w:p>
    <w:p>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（三）本项目的特定资格要求：无。</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0" w:name="_Toc4034"/>
      <w:bookmarkStart w:id="31" w:name="_Toc4536"/>
      <w:bookmarkStart w:id="32" w:name="_Toc16913"/>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、比选采购有关说明</w:t>
      </w:r>
      <w:bookmarkEnd w:id="30"/>
      <w:bookmarkEnd w:id="31"/>
      <w:bookmarkEnd w:id="32"/>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（一）凡有意参加比选的供应商，请在</w:t>
      </w:r>
      <w:r>
        <w:rPr>
          <w:rFonts w:hint="eastAsia" w:ascii="宋体" w:hAnsi="宋体" w:eastAsia="宋体" w:cs="宋体"/>
          <w:sz w:val="24"/>
          <w:szCs w:val="24"/>
          <w:highlight w:val="none"/>
          <w:lang w:eastAsia="zh-CN"/>
        </w:rPr>
        <w:t>“重庆</w:t>
      </w:r>
      <w:r>
        <w:rPr>
          <w:rFonts w:hint="eastAsia" w:ascii="宋体" w:hAnsi="宋体" w:eastAsia="宋体" w:cs="宋体"/>
          <w:sz w:val="24"/>
          <w:szCs w:val="24"/>
          <w:highlight w:val="none"/>
          <w:lang w:val="en-US" w:eastAsia="zh-CN"/>
        </w:rPr>
        <w:t>园博园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（http://www.cqybh2011.com/cqyby/index.html）</w:t>
      </w:r>
      <w:r>
        <w:rPr>
          <w:rFonts w:hint="eastAsia" w:ascii="宋体" w:hAnsi="宋体" w:eastAsia="宋体" w:cs="宋体"/>
          <w:sz w:val="24"/>
          <w:szCs w:val="24"/>
          <w:highlight w:val="none"/>
          <w:lang w:val="en-US" w:eastAsia="zh-CN"/>
        </w:rPr>
        <w:t>或“中国采购与招标网”（https://www.chinabidding.com.cn/）</w:t>
      </w:r>
      <w:r>
        <w:rPr>
          <w:rFonts w:hint="eastAsia" w:asciiTheme="minorEastAsia" w:hAnsiTheme="minorEastAsia" w:eastAsiaTheme="minorEastAsia" w:cstheme="minorEastAsia"/>
          <w:color w:val="auto"/>
          <w:sz w:val="24"/>
          <w:szCs w:val="24"/>
          <w:highlight w:val="none"/>
        </w:rPr>
        <w:t>上下载本项目竞争性比选文件以及澄清等比选前公布的所有项目资料，无论供应商下载与否，均视为已知晓所有比选实质性要求内容。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）竞争性比选公告期限：自采购公告发布之日起三个工作日。</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）竞争性比选文件发售期限：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竞争性比选文件发售期：202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21 </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rPr>
        <w:t>日（9:00—17:00工作时间）。</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2、报名方式</w:t>
      </w:r>
    </w:p>
    <w:p>
      <w:pPr>
        <w:wordWrap w:val="0"/>
        <w:adjustRightInd/>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在磋商文件发售期内，供应商将磋商文件购买费用汇至以下账户内进行购买。通过汇款方式购买磋商文件的，将磋商文件汇款凭证（注明项目编号）、《采购文件发售登记表》（加盖供应商公章）扫描后发送至403140251@QQ.com（邮箱）。"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在</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文件发售期内，将《</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文件发售登记表》（加盖供应商公章）扫描后发送至280756406@QQ.com（邮箱）。</w:t>
      </w:r>
      <w:r>
        <w:rPr>
          <w:rFonts w:hint="eastAsia" w:ascii="宋体" w:hAnsi="宋体" w:eastAsia="宋体" w:cs="宋体"/>
          <w:sz w:val="24"/>
          <w:szCs w:val="24"/>
          <w:highlight w:val="none"/>
        </w:rPr>
        <w:fldChar w:fldCharType="end"/>
      </w:r>
    </w:p>
    <w:p>
      <w:pPr>
        <w:numPr>
          <w:ilvl w:val="0"/>
          <w:numId w:val="0"/>
        </w:numPr>
        <w:spacing w:line="400" w:lineRule="exact"/>
        <w:ind w:firstLine="480" w:firstLineChars="200"/>
        <w:rPr>
          <w:rFonts w:hint="eastAsia" w:ascii="宋体" w:hAnsi="宋体" w:eastAsia="宋体" w:cs="宋体"/>
          <w:spacing w:val="0"/>
          <w:sz w:val="24"/>
          <w:szCs w:val="24"/>
          <w:highlight w:val="none"/>
          <w:lang w:eastAsia="zh-CN"/>
        </w:rPr>
      </w:pPr>
      <w:r>
        <w:rPr>
          <w:rFonts w:hint="eastAsia" w:ascii="宋体" w:hAnsi="宋体" w:cs="宋体"/>
          <w:spacing w:val="0"/>
          <w:sz w:val="24"/>
          <w:szCs w:val="24"/>
          <w:highlight w:val="none"/>
          <w:lang w:eastAsia="zh-CN"/>
        </w:rPr>
        <w:t>（</w:t>
      </w:r>
      <w:r>
        <w:rPr>
          <w:rFonts w:hint="eastAsia" w:ascii="宋体" w:hAnsi="宋体" w:cs="宋体"/>
          <w:spacing w:val="0"/>
          <w:sz w:val="24"/>
          <w:szCs w:val="24"/>
          <w:highlight w:val="none"/>
          <w:lang w:val="en-US" w:eastAsia="zh-CN"/>
        </w:rPr>
        <w:t>2</w:t>
      </w:r>
      <w:r>
        <w:rPr>
          <w:rFonts w:hint="eastAsia" w:ascii="宋体" w:hAnsi="宋体" w:cs="宋体"/>
          <w:spacing w:val="0"/>
          <w:sz w:val="24"/>
          <w:szCs w:val="24"/>
          <w:highlight w:val="none"/>
          <w:lang w:eastAsia="zh-CN"/>
        </w:rPr>
        <w:t>）</w:t>
      </w:r>
      <w:r>
        <w:rPr>
          <w:rFonts w:hint="eastAsia" w:ascii="宋体" w:hAnsi="宋体" w:eastAsia="宋体" w:cs="宋体"/>
          <w:spacing w:val="0"/>
          <w:sz w:val="24"/>
          <w:szCs w:val="24"/>
          <w:highlight w:val="none"/>
        </w:rPr>
        <w:t>在</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文件发售期内</w:t>
      </w:r>
      <w:r>
        <w:rPr>
          <w:rFonts w:hint="eastAsia" w:ascii="宋体" w:hAnsi="宋体" w:eastAsia="宋体" w:cs="宋体"/>
          <w:spacing w:val="0"/>
          <w:sz w:val="24"/>
          <w:szCs w:val="24"/>
          <w:highlight w:val="none"/>
          <w:lang w:val="en-US" w:eastAsia="zh-CN"/>
        </w:rPr>
        <w:t>报名</w:t>
      </w:r>
      <w:r>
        <w:rPr>
          <w:rFonts w:hint="eastAsia" w:ascii="宋体" w:hAnsi="宋体" w:eastAsia="宋体" w:cs="宋体"/>
          <w:spacing w:val="0"/>
          <w:sz w:val="24"/>
          <w:szCs w:val="24"/>
          <w:highlight w:val="none"/>
        </w:rPr>
        <w:t>的供应商，其</w:t>
      </w:r>
      <w:r>
        <w:rPr>
          <w:rFonts w:hint="eastAsia" w:ascii="宋体" w:hAnsi="宋体" w:eastAsia="宋体" w:cs="宋体"/>
          <w:spacing w:val="0"/>
          <w:sz w:val="24"/>
          <w:szCs w:val="24"/>
          <w:highlight w:val="none"/>
          <w:lang w:val="en-US" w:eastAsia="zh-CN"/>
        </w:rPr>
        <w:t>响应文件</w:t>
      </w:r>
      <w:r>
        <w:rPr>
          <w:rFonts w:hint="eastAsia" w:ascii="宋体" w:hAnsi="宋体" w:eastAsia="宋体" w:cs="宋体"/>
          <w:spacing w:val="0"/>
          <w:sz w:val="24"/>
          <w:szCs w:val="24"/>
          <w:highlight w:val="none"/>
        </w:rPr>
        <w:t>才被接收</w:t>
      </w:r>
      <w:r>
        <w:rPr>
          <w:rFonts w:hint="eastAsia" w:ascii="宋体" w:hAnsi="宋体" w:eastAsia="宋体" w:cs="宋体"/>
          <w:spacing w:val="0"/>
          <w:sz w:val="24"/>
          <w:szCs w:val="24"/>
          <w:highlight w:val="none"/>
          <w:lang w:eastAsia="zh-CN"/>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）递交响应文件地点：</w:t>
      </w:r>
      <w:r>
        <w:rPr>
          <w:rFonts w:hint="eastAsia" w:ascii="宋体" w:hAnsi="宋体" w:cs="宋体"/>
          <w:sz w:val="24"/>
          <w:szCs w:val="24"/>
          <w:highlight w:val="none"/>
          <w:lang w:val="en-US" w:eastAsia="zh-CN"/>
        </w:rPr>
        <w:t>重庆市</w:t>
      </w:r>
      <w:r>
        <w:rPr>
          <w:rFonts w:hint="eastAsia" w:ascii="宋体" w:hAnsi="宋体" w:cs="宋体"/>
          <w:sz w:val="24"/>
          <w:szCs w:val="24"/>
          <w:highlight w:val="none"/>
          <w:lang w:eastAsia="zh-CN"/>
        </w:rPr>
        <w:t>两江新区龙景路1号（重庆园博园主展馆一楼会议室）</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28</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10:00  </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28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10:30  </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）比选开始时间：202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28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10:30 </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3" w:name="_Toc22111"/>
      <w:bookmarkEnd w:id="33"/>
      <w:bookmarkStart w:id="34" w:name="_Toc30895"/>
      <w:bookmarkEnd w:id="34"/>
      <w:bookmarkStart w:id="35" w:name="_Toc12663"/>
      <w:bookmarkEnd w:id="35"/>
      <w:bookmarkStart w:id="36" w:name="_Toc11844"/>
      <w:bookmarkEnd w:id="36"/>
      <w:bookmarkStart w:id="37" w:name="_Toc524"/>
      <w:bookmarkEnd w:id="37"/>
      <w:bookmarkStart w:id="38" w:name="_Toc3476"/>
      <w:bookmarkEnd w:id="38"/>
      <w:bookmarkStart w:id="39" w:name="_Toc15717"/>
      <w:bookmarkEnd w:id="39"/>
      <w:bookmarkStart w:id="40" w:name="_Toc75793500"/>
      <w:bookmarkEnd w:id="40"/>
      <w:bookmarkStart w:id="41" w:name="_Toc9290"/>
      <w:bookmarkEnd w:id="41"/>
      <w:bookmarkStart w:id="42" w:name="_Toc7836"/>
      <w:bookmarkEnd w:id="42"/>
      <w:bookmarkStart w:id="43" w:name="_Toc23960"/>
      <w:bookmarkEnd w:id="43"/>
      <w:bookmarkStart w:id="44" w:name="_Toc18100"/>
      <w:bookmarkEnd w:id="44"/>
      <w:bookmarkStart w:id="45" w:name="_Toc106030376"/>
      <w:bookmarkEnd w:id="45"/>
      <w:bookmarkStart w:id="46" w:name="_Toc12090"/>
      <w:bookmarkEnd w:id="46"/>
      <w:bookmarkStart w:id="47" w:name="_Toc25854"/>
      <w:bookmarkEnd w:id="47"/>
      <w:bookmarkStart w:id="48" w:name="_Toc3575"/>
      <w:bookmarkStart w:id="49" w:name="_Toc25502"/>
      <w:bookmarkStart w:id="50" w:name="_Toc15409"/>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保证金</w:t>
      </w:r>
      <w:bookmarkEnd w:id="48"/>
      <w:bookmarkEnd w:id="49"/>
      <w:bookmarkEnd w:id="50"/>
    </w:p>
    <w:bookmarkEnd w:id="26"/>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51" w:name="_Toc480466698"/>
      <w:bookmarkEnd w:id="51"/>
      <w:bookmarkStart w:id="52" w:name="_Toc76462321"/>
      <w:bookmarkEnd w:id="52"/>
      <w:bookmarkStart w:id="53" w:name="_Toc480466699"/>
      <w:bookmarkEnd w:id="53"/>
      <w:bookmarkStart w:id="54" w:name="_Toc106030876"/>
      <w:bookmarkEnd w:id="54"/>
      <w:bookmarkStart w:id="55" w:name="_Toc12747"/>
      <w:bookmarkEnd w:id="55"/>
      <w:bookmarkStart w:id="56" w:name="_Toc76462322"/>
      <w:bookmarkEnd w:id="56"/>
      <w:bookmarkStart w:id="57" w:name="_Toc11939"/>
      <w:bookmarkEnd w:id="57"/>
      <w:bookmarkStart w:id="58" w:name="_Toc373860294"/>
      <w:bookmarkEnd w:id="58"/>
      <w:bookmarkStart w:id="59" w:name="_Toc106030875"/>
      <w:bookmarkEnd w:id="59"/>
      <w:bookmarkStart w:id="60" w:name="_Toc479668114"/>
      <w:bookmarkEnd w:id="60"/>
      <w:bookmarkStart w:id="61" w:name="_Toc5159"/>
      <w:bookmarkStart w:id="62" w:name="_Toc28996"/>
      <w:r>
        <w:rPr>
          <w:rFonts w:hint="eastAsia" w:asciiTheme="minorEastAsia" w:hAnsiTheme="minorEastAsia" w:eastAsiaTheme="minorEastAsia" w:cstheme="minorEastAsia"/>
          <w:color w:val="auto"/>
          <w:sz w:val="24"/>
          <w:szCs w:val="24"/>
          <w:highlight w:val="none"/>
          <w:lang w:val="en-US" w:eastAsia="zh-CN"/>
        </w:rPr>
        <w:t>（一）比选保证金的金额</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本项目要求供应商递交比选保证金：人民币10000元（大写：壹万元整）。</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（二）比选保证金递交时间：递交响应文件的同时向比选人递交比选保证金。</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（三）比选保证金的缴纳形式：各供应商将比选保证金(</w:t>
      </w:r>
      <w:r>
        <w:rPr>
          <w:rFonts w:hint="eastAsia" w:asciiTheme="minorEastAsia" w:hAnsiTheme="minorEastAsia" w:eastAsiaTheme="minorEastAsia" w:cstheme="minorEastAsia"/>
          <w:b/>
          <w:bCs/>
          <w:color w:val="auto"/>
          <w:sz w:val="24"/>
          <w:szCs w:val="24"/>
          <w:highlight w:val="none"/>
          <w:lang w:val="en-US" w:eastAsia="zh-CN"/>
        </w:rPr>
        <w:t>现金</w:t>
      </w:r>
      <w:r>
        <w:rPr>
          <w:rFonts w:hint="eastAsia" w:asciiTheme="minorEastAsia" w:hAnsiTheme="minorEastAsia" w:eastAsiaTheme="minorEastAsia" w:cstheme="minorEastAsia"/>
          <w:color w:val="auto"/>
          <w:sz w:val="24"/>
          <w:szCs w:val="24"/>
          <w:highlight w:val="none"/>
          <w:lang w:val="en-US" w:eastAsia="zh-CN"/>
        </w:rPr>
        <w:t>)自行密封并注明项目名称、供应商名称、联系人、联系电话后加盖供应商单位公章。</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（四）退还方式</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评选结束后，比选人将退还除成交供应商以外的供应商的比选保证金，合同签订后无息退还成交供应商的比选保证金。</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3" w:name="_Toc2811"/>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、其它有关规定</w:t>
      </w:r>
      <w:bookmarkEnd w:id="61"/>
      <w:bookmarkEnd w:id="62"/>
      <w:bookmarkEnd w:id="63"/>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（一）单位负责人为同一人或者存在直接控股、管理关系的不同供应商，不得参加同一合同项（包）下的政府采购活动，否则均为无效响应。</w:t>
      </w:r>
    </w:p>
    <w:p>
      <w:pPr>
        <w:keepNext w:val="0"/>
        <w:keepLines w:val="0"/>
        <w:pageBreakBefore w:val="0"/>
        <w:widowControl w:val="0"/>
        <w:kinsoku/>
        <w:wordWrap w:val="0"/>
        <w:overflowPunct/>
        <w:topLinePunct w:val="0"/>
        <w:autoSpaceDE/>
        <w:autoSpaceDN/>
        <w:bidi w:val="0"/>
        <w:adjustRightInd/>
        <w:snapToGrid w:val="0"/>
        <w:spacing w:line="400" w:lineRule="exact"/>
        <w:ind w:firstLine="360" w:firstLineChars="1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（二）为采购项目提供整体设计、规范编制或者项目管理、监理、检测等服务的供应商，不得再参加该采购项目的其他采购活动</w:t>
      </w:r>
      <w:r>
        <w:rPr>
          <w:rFonts w:hint="eastAsia" w:ascii="宋体" w:hAnsi="宋体" w:cs="宋体"/>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）本项目的澄清文件（如果有）一律在</w:t>
      </w:r>
      <w:r>
        <w:rPr>
          <w:rFonts w:hint="eastAsia" w:ascii="宋体" w:hAnsi="宋体" w:eastAsia="宋体" w:cs="宋体"/>
          <w:sz w:val="24"/>
          <w:szCs w:val="24"/>
          <w:highlight w:val="none"/>
          <w:lang w:eastAsia="zh-CN"/>
        </w:rPr>
        <w:t>“重庆</w:t>
      </w:r>
      <w:r>
        <w:rPr>
          <w:rFonts w:hint="eastAsia" w:ascii="宋体" w:hAnsi="宋体" w:eastAsia="宋体" w:cs="宋体"/>
          <w:sz w:val="24"/>
          <w:szCs w:val="24"/>
          <w:highlight w:val="none"/>
          <w:lang w:val="en-US" w:eastAsia="zh-CN"/>
        </w:rPr>
        <w:t>园博园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（http://www.cqybh2011.com/cqyby/index.html）</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“中国采购与招标网”（https://www.chinabidding.com.cn/）</w:t>
      </w:r>
      <w:r>
        <w:rPr>
          <w:rFonts w:hint="eastAsia" w:asciiTheme="minorEastAsia" w:hAnsiTheme="minorEastAsia" w:eastAsiaTheme="minorEastAsia" w:cstheme="minorEastAsia"/>
          <w:color w:val="auto"/>
          <w:sz w:val="24"/>
          <w:szCs w:val="24"/>
          <w:highlight w:val="none"/>
        </w:rPr>
        <w:t>上发布，请各供应商注意下载；无论供应商下载与否，均视同供应商已知晓本项目澄清文件（如果有）的内容。</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）超过响应文件递交截止时间递交的响应文件，恕不接收。</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）比选费用：无论比选结果如何，供应商参与本项目比选的所有费用均应由供应商自行承担。</w:t>
      </w:r>
    </w:p>
    <w:p>
      <w:pPr>
        <w:snapToGrid w:val="0"/>
        <w:spacing w:line="400" w:lineRule="exact"/>
        <w:ind w:firstLine="361"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w:t>
      </w:r>
      <w:r>
        <w:rPr>
          <w:rFonts w:hint="eastAsia" w:ascii="宋体" w:hAnsi="宋体" w:cs="宋体"/>
          <w:b/>
          <w:color w:val="auto"/>
          <w:sz w:val="24"/>
          <w:szCs w:val="24"/>
          <w:highlight w:val="none"/>
        </w:rPr>
        <w:t>本项目不接受联合体参与</w:t>
      </w:r>
      <w:r>
        <w:rPr>
          <w:rFonts w:hint="eastAsia" w:ascii="宋体" w:hAnsi="宋体" w:cs="宋体"/>
          <w:b/>
          <w:color w:val="auto"/>
          <w:sz w:val="24"/>
          <w:szCs w:val="24"/>
          <w:highlight w:val="none"/>
          <w:lang w:val="en-US" w:eastAsia="zh-CN"/>
        </w:rPr>
        <w:t>比选</w:t>
      </w:r>
      <w:r>
        <w:rPr>
          <w:rFonts w:hint="eastAsia" w:ascii="宋体" w:hAnsi="宋体" w:cs="宋体"/>
          <w:b/>
          <w:color w:val="auto"/>
          <w:sz w:val="24"/>
          <w:szCs w:val="24"/>
          <w:highlight w:val="none"/>
        </w:rPr>
        <w:t>，否则按无效处理。</w:t>
      </w:r>
    </w:p>
    <w:p>
      <w:pPr>
        <w:snapToGrid w:val="0"/>
        <w:spacing w:line="400" w:lineRule="exact"/>
        <w:ind w:firstLine="361" w:firstLineChars="150"/>
        <w:rPr>
          <w:rFonts w:hint="eastAsia" w:asciiTheme="minorEastAsia" w:hAnsiTheme="minorEastAsia" w:eastAsiaTheme="minorEastAsia" w:cstheme="minorEastAsia"/>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七</w:t>
      </w:r>
      <w:r>
        <w:rPr>
          <w:rFonts w:hint="eastAsia" w:ascii="宋体" w:hAnsi="宋体" w:cs="宋体"/>
          <w:b/>
          <w:color w:val="auto"/>
          <w:sz w:val="24"/>
          <w:szCs w:val="24"/>
          <w:highlight w:val="none"/>
        </w:rPr>
        <w:t>）本项目不接受合同分包，否则按无效处理。</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w:t>
      </w:r>
      <w:bookmarkStart w:id="64" w:name="_Toc480466700"/>
      <w:r>
        <w:rPr>
          <w:rFonts w:hint="eastAsia" w:asciiTheme="minorEastAsia" w:hAnsiTheme="minorEastAsia" w:eastAsiaTheme="minorEastAsia" w:cstheme="minorEastAsia"/>
          <w:color w:val="auto"/>
          <w:sz w:val="24"/>
          <w:szCs w:val="24"/>
          <w:highlight w:val="none"/>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bookmarkEnd w:id="64"/>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65" w:name="_Toc76462323"/>
      <w:bookmarkEnd w:id="65"/>
      <w:bookmarkStart w:id="66" w:name="_Toc106030877"/>
      <w:bookmarkEnd w:id="66"/>
      <w:bookmarkStart w:id="67" w:name="_Toc32225"/>
      <w:bookmarkEnd w:id="67"/>
      <w:bookmarkStart w:id="68" w:name="_Toc3054"/>
      <w:bookmarkStart w:id="69" w:name="_Toc31248"/>
      <w:bookmarkStart w:id="70" w:name="_Toc1504"/>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、联系方式</w:t>
      </w:r>
      <w:bookmarkEnd w:id="68"/>
      <w:bookmarkEnd w:id="69"/>
      <w:bookmarkEnd w:id="70"/>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重庆市园博园管理处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胥</w:t>
      </w:r>
      <w:r>
        <w:rPr>
          <w:rFonts w:hint="eastAsia" w:ascii="宋体" w:hAnsi="宋体" w:eastAsia="宋体" w:cs="宋体"/>
          <w:sz w:val="24"/>
          <w:szCs w:val="24"/>
          <w:highlight w:val="none"/>
        </w:rPr>
        <w:t>老师</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sz w:val="24"/>
          <w:szCs w:val="24"/>
          <w:highlight w:val="none"/>
        </w:rPr>
        <w:t>电  话：023-</w:t>
      </w:r>
      <w:r>
        <w:rPr>
          <w:rFonts w:hint="eastAsia" w:ascii="宋体" w:hAnsi="宋体" w:eastAsia="宋体" w:cs="宋体"/>
          <w:sz w:val="24"/>
          <w:szCs w:val="24"/>
          <w:highlight w:val="none"/>
          <w:lang w:val="en-US" w:eastAsia="zh-CN"/>
        </w:rPr>
        <w:t>63086109</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地  址：</w:t>
      </w:r>
      <w:r>
        <w:rPr>
          <w:rFonts w:hint="eastAsia" w:ascii="宋体" w:hAnsi="宋体" w:cs="宋体"/>
          <w:color w:val="auto"/>
          <w:sz w:val="24"/>
          <w:szCs w:val="24"/>
          <w:highlight w:val="none"/>
        </w:rPr>
        <w:t>重庆市两江新区龙景路1号</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华春建设工程项目管理有限责任公司</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温老师</w:t>
      </w:r>
    </w:p>
    <w:p>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023-86394748</w:t>
      </w:r>
    </w:p>
    <w:p>
      <w:pPr>
        <w:snapToGrid w:val="0"/>
        <w:spacing w:line="400" w:lineRule="exact"/>
        <w:ind w:firstLine="480" w:firstLineChars="2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重庆市江北区建新东路82号</w:t>
      </w:r>
    </w:p>
    <w:p>
      <w:pPr>
        <w:snapToGrid w:val="0"/>
        <w:spacing w:line="420" w:lineRule="exact"/>
        <w:ind w:firstLine="964"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pStyle w:val="3"/>
        <w:rPr>
          <w:rFonts w:hAnsi="宋体" w:cs="宋体"/>
          <w:sz w:val="24"/>
          <w:szCs w:val="24"/>
          <w:highlight w:val="none"/>
        </w:rPr>
      </w:pPr>
      <w:bookmarkStart w:id="71" w:name="_Toc106030878"/>
      <w:bookmarkEnd w:id="71"/>
      <w:bookmarkStart w:id="72" w:name="_Toc76462324"/>
      <w:bookmarkEnd w:id="72"/>
      <w:bookmarkStart w:id="73" w:name="_Toc3523"/>
      <w:bookmarkEnd w:id="73"/>
      <w:bookmarkStart w:id="74" w:name="_Toc26914"/>
      <w:bookmarkStart w:id="75" w:name="_Toc21696"/>
      <w:r>
        <w:rPr>
          <w:rFonts w:hint="eastAsia" w:hAnsi="宋体" w:cs="宋体"/>
          <w:sz w:val="24"/>
          <w:szCs w:val="24"/>
          <w:highlight w:val="none"/>
        </w:rPr>
        <w:t>附件</w:t>
      </w:r>
      <w:bookmarkEnd w:id="74"/>
      <w:bookmarkEnd w:id="75"/>
    </w:p>
    <w:p>
      <w:pPr>
        <w:rPr>
          <w:rFonts w:ascii="宋体" w:hAnsi="宋体" w:cs="宋体"/>
          <w:b/>
          <w:sz w:val="24"/>
          <w:szCs w:val="24"/>
          <w:highlight w:val="none"/>
        </w:rPr>
      </w:pPr>
    </w:p>
    <w:p>
      <w:pPr>
        <w:jc w:val="center"/>
        <w:rPr>
          <w:rFonts w:ascii="宋体" w:hAnsi="宋体" w:cs="宋体"/>
          <w:b/>
          <w:bCs/>
          <w:sz w:val="44"/>
          <w:szCs w:val="44"/>
          <w:highlight w:val="none"/>
        </w:rPr>
      </w:pPr>
      <w:r>
        <w:rPr>
          <w:rFonts w:hint="eastAsia" w:ascii="宋体" w:hAnsi="宋体" w:cs="宋体"/>
          <w:b/>
          <w:bCs/>
          <w:sz w:val="44"/>
          <w:szCs w:val="44"/>
          <w:highlight w:val="none"/>
          <w:lang w:eastAsia="zh-CN"/>
        </w:rPr>
        <w:t>比选文件发售登记表</w:t>
      </w:r>
    </w:p>
    <w:p>
      <w:pPr>
        <w:jc w:val="left"/>
        <w:rPr>
          <w:rFonts w:ascii="宋体" w:hAnsi="宋体" w:cs="宋体"/>
          <w:b/>
          <w:bCs/>
          <w:spacing w:val="40"/>
          <w:highlight w:val="none"/>
        </w:rPr>
      </w:pPr>
    </w:p>
    <w:tbl>
      <w:tblPr>
        <w:tblStyle w:val="60"/>
        <w:tblW w:w="0" w:type="auto"/>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2129"/>
        <w:gridCol w:w="1528"/>
        <w:gridCol w:w="40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782" w:type="dxa"/>
            <w:gridSpan w:val="4"/>
            <w:vAlign w:val="center"/>
          </w:tcPr>
          <w:p>
            <w:pPr>
              <w:jc w:val="left"/>
              <w:rPr>
                <w:rFonts w:ascii="宋体" w:hAnsi="宋体" w:cs="宋体"/>
                <w:sz w:val="24"/>
                <w:szCs w:val="24"/>
                <w:highlight w:val="none"/>
              </w:rPr>
            </w:pPr>
            <w:r>
              <w:rPr>
                <w:rFonts w:hint="eastAsia" w:ascii="宋体" w:hAnsi="宋体" w:cs="宋体"/>
                <w:sz w:val="24"/>
                <w:szCs w:val="24"/>
                <w:highlight w:val="none"/>
              </w:rPr>
              <w:t>项目编号：</w:t>
            </w:r>
          </w:p>
          <w:p>
            <w:pPr>
              <w:jc w:val="left"/>
              <w:rPr>
                <w:rFonts w:ascii="宋体" w:hAnsi="宋体" w:cs="宋体"/>
                <w:sz w:val="24"/>
                <w:szCs w:val="24"/>
                <w:highlight w:val="none"/>
              </w:rPr>
            </w:pPr>
            <w:r>
              <w:rPr>
                <w:rFonts w:hint="eastAsia" w:ascii="宋体" w:hAnsi="宋体" w:cs="宋体"/>
                <w:sz w:val="24"/>
                <w:szCs w:val="24"/>
                <w:highlight w:val="none"/>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24" w:type="dxa"/>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供应商名称</w:t>
            </w:r>
          </w:p>
        </w:tc>
        <w:tc>
          <w:tcPr>
            <w:tcW w:w="7658" w:type="dxa"/>
            <w:gridSpan w:val="3"/>
            <w:vAlign w:val="bottom"/>
          </w:tcPr>
          <w:p>
            <w:pPr>
              <w:spacing w:line="360" w:lineRule="exact"/>
              <w:jc w:val="right"/>
              <w:rPr>
                <w:rFonts w:ascii="宋体" w:hAnsi="宋体" w:cs="宋体"/>
                <w:sz w:val="24"/>
                <w:szCs w:val="24"/>
                <w:highlight w:val="none"/>
              </w:rPr>
            </w:pPr>
            <w:r>
              <w:rPr>
                <w:rFonts w:hint="eastAsia" w:ascii="宋体" w:hAnsi="宋体" w:cs="宋体"/>
                <w:sz w:val="24"/>
                <w:szCs w:val="24"/>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4" w:type="dxa"/>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联系人</w:t>
            </w:r>
          </w:p>
        </w:tc>
        <w:tc>
          <w:tcPr>
            <w:tcW w:w="2129" w:type="dxa"/>
            <w:vAlign w:val="center"/>
          </w:tcPr>
          <w:p>
            <w:pPr>
              <w:spacing w:line="360" w:lineRule="exact"/>
              <w:jc w:val="left"/>
              <w:rPr>
                <w:rFonts w:ascii="宋体" w:hAnsi="宋体" w:cs="宋体"/>
                <w:sz w:val="24"/>
                <w:szCs w:val="24"/>
                <w:highlight w:val="none"/>
              </w:rPr>
            </w:pPr>
          </w:p>
        </w:tc>
        <w:tc>
          <w:tcPr>
            <w:tcW w:w="1528" w:type="dxa"/>
            <w:vAlign w:val="center"/>
          </w:tcPr>
          <w:p>
            <w:pPr>
              <w:spacing w:line="360" w:lineRule="exact"/>
              <w:jc w:val="left"/>
              <w:rPr>
                <w:rFonts w:ascii="宋体" w:hAnsi="宋体" w:cs="宋体"/>
                <w:sz w:val="24"/>
                <w:szCs w:val="24"/>
                <w:highlight w:val="none"/>
              </w:rPr>
            </w:pPr>
            <w:r>
              <w:rPr>
                <w:rFonts w:hint="eastAsia" w:ascii="宋体" w:hAnsi="宋体" w:cs="宋体"/>
                <w:sz w:val="24"/>
                <w:szCs w:val="24"/>
                <w:highlight w:val="none"/>
              </w:rPr>
              <w:t>手机</w:t>
            </w:r>
          </w:p>
        </w:tc>
        <w:tc>
          <w:tcPr>
            <w:tcW w:w="4001" w:type="dxa"/>
            <w:vAlign w:val="center"/>
          </w:tcPr>
          <w:p>
            <w:pP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4" w:type="dxa"/>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办公电话</w:t>
            </w:r>
          </w:p>
        </w:tc>
        <w:tc>
          <w:tcPr>
            <w:tcW w:w="2129" w:type="dxa"/>
            <w:vAlign w:val="center"/>
          </w:tcPr>
          <w:p>
            <w:pPr>
              <w:spacing w:line="360" w:lineRule="exact"/>
              <w:jc w:val="left"/>
              <w:rPr>
                <w:rFonts w:ascii="宋体" w:hAnsi="宋体" w:cs="宋体"/>
                <w:sz w:val="24"/>
                <w:szCs w:val="24"/>
                <w:highlight w:val="none"/>
              </w:rPr>
            </w:pPr>
          </w:p>
        </w:tc>
        <w:tc>
          <w:tcPr>
            <w:tcW w:w="1528" w:type="dxa"/>
            <w:vAlign w:val="center"/>
          </w:tcPr>
          <w:p>
            <w:pPr>
              <w:spacing w:line="360" w:lineRule="exact"/>
              <w:jc w:val="left"/>
              <w:rPr>
                <w:rFonts w:ascii="宋体" w:hAnsi="宋体" w:cs="宋体"/>
                <w:sz w:val="24"/>
                <w:szCs w:val="24"/>
                <w:highlight w:val="none"/>
              </w:rPr>
            </w:pPr>
            <w:r>
              <w:rPr>
                <w:rFonts w:hint="eastAsia" w:ascii="宋体" w:hAnsi="宋体" w:cs="宋体"/>
                <w:sz w:val="24"/>
                <w:szCs w:val="24"/>
                <w:highlight w:val="none"/>
              </w:rPr>
              <w:t>传真</w:t>
            </w:r>
          </w:p>
        </w:tc>
        <w:tc>
          <w:tcPr>
            <w:tcW w:w="4001" w:type="dxa"/>
            <w:vAlign w:val="center"/>
          </w:tcPr>
          <w:p>
            <w:pP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4" w:type="dxa"/>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邮箱</w:t>
            </w:r>
          </w:p>
        </w:tc>
        <w:tc>
          <w:tcPr>
            <w:tcW w:w="7658" w:type="dxa"/>
            <w:gridSpan w:val="3"/>
            <w:vAlign w:val="center"/>
          </w:tcPr>
          <w:p>
            <w:pP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24" w:type="dxa"/>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单位地址</w:t>
            </w:r>
          </w:p>
        </w:tc>
        <w:tc>
          <w:tcPr>
            <w:tcW w:w="7658" w:type="dxa"/>
            <w:gridSpan w:val="3"/>
            <w:vAlign w:val="center"/>
          </w:tcPr>
          <w:p>
            <w:pP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782" w:type="dxa"/>
            <w:gridSpan w:val="4"/>
            <w:vAlign w:val="center"/>
          </w:tcPr>
          <w:p>
            <w:pPr>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温</w:t>
            </w:r>
            <w:r>
              <w:rPr>
                <w:rFonts w:hint="eastAsia" w:ascii="宋体" w:hAnsi="宋体" w:cs="宋体"/>
                <w:sz w:val="24"/>
                <w:szCs w:val="24"/>
                <w:highlight w:val="none"/>
              </w:rPr>
              <w:t>老师        电话：023-8639474</w:t>
            </w:r>
            <w:r>
              <w:rPr>
                <w:rFonts w:hint="eastAsia" w:ascii="宋体" w:hAnsi="宋体" w:cs="宋体"/>
                <w:sz w:val="24"/>
                <w:szCs w:val="24"/>
                <w:highlight w:val="none"/>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782" w:type="dxa"/>
            <w:gridSpan w:val="4"/>
            <w:vAlign w:val="center"/>
          </w:tcPr>
          <w:p>
            <w:pPr>
              <w:jc w:val="left"/>
              <w:rPr>
                <w:rFonts w:ascii="宋体" w:hAnsi="宋体" w:cs="宋体"/>
                <w:sz w:val="24"/>
                <w:szCs w:val="24"/>
                <w:highlight w:val="none"/>
              </w:rPr>
            </w:pPr>
            <w:r>
              <w:rPr>
                <w:rFonts w:hint="eastAsia" w:ascii="宋体" w:hAnsi="宋体" w:cs="宋体"/>
                <w:sz w:val="24"/>
                <w:szCs w:val="24"/>
                <w:highlight w:val="none"/>
                <w:lang w:val="en-US" w:eastAsia="zh-CN"/>
              </w:rPr>
              <w:t>比选文件发售期</w:t>
            </w:r>
            <w:r>
              <w:rPr>
                <w:rFonts w:hint="eastAsia" w:ascii="宋体" w:hAnsi="宋体" w:cs="宋体"/>
                <w:sz w:val="24"/>
                <w:szCs w:val="24"/>
                <w:highlight w:val="none"/>
              </w:rPr>
              <w:t>：</w:t>
            </w:r>
            <w:r>
              <w:rPr>
                <w:rFonts w:hint="eastAsia" w:ascii="宋体" w:hAnsi="宋体" w:cs="宋体"/>
                <w:sz w:val="24"/>
                <w:szCs w:val="24"/>
                <w:highlight w:val="none"/>
                <w:lang w:val="en-US" w:eastAsia="zh-CN"/>
              </w:rPr>
              <w:t>2025年7月 21日-2025年7月24日</w:t>
            </w:r>
          </w:p>
        </w:tc>
      </w:tr>
    </w:tbl>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rPr>
        <w:t>未在规定时间内</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《比选文件发售登记表》发送至</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邮箱的供应商不具备投标资格</w:t>
      </w:r>
      <w:r>
        <w:rPr>
          <w:rFonts w:hint="eastAsia" w:asciiTheme="minorEastAsia" w:hAnsiTheme="minorEastAsia" w:eastAsiaTheme="minorEastAsia" w:cstheme="minorEastAsia"/>
          <w:color w:val="auto"/>
          <w:sz w:val="24"/>
          <w:szCs w:val="24"/>
          <w:highlight w:val="none"/>
          <w:lang w:eastAsia="zh-CN"/>
        </w:rPr>
        <w:t>。</w:t>
      </w: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highlight w:val="none"/>
        </w:rPr>
      </w:pPr>
    </w:p>
    <w:p>
      <w:pPr>
        <w:pStyle w:val="4"/>
        <w:spacing w:before="0" w:after="0" w:line="360" w:lineRule="auto"/>
        <w:jc w:val="center"/>
        <w:rPr>
          <w:rFonts w:hint="eastAsia" w:asciiTheme="minorEastAsia" w:hAnsiTheme="minorEastAsia" w:eastAsiaTheme="minorEastAsia" w:cstheme="minorEastAsia"/>
          <w:b w:val="0"/>
          <w:color w:val="auto"/>
          <w:sz w:val="30"/>
          <w:szCs w:val="30"/>
          <w:highlight w:val="none"/>
        </w:rPr>
      </w:pPr>
      <w:bookmarkStart w:id="76" w:name="_Toc28796"/>
      <w:bookmarkStart w:id="77" w:name="_Toc31059"/>
      <w:bookmarkStart w:id="78" w:name="_Toc20389"/>
      <w:r>
        <w:rPr>
          <w:rFonts w:hint="eastAsia" w:asciiTheme="minorEastAsia" w:hAnsiTheme="minorEastAsia" w:eastAsiaTheme="minorEastAsia" w:cstheme="minorEastAsia"/>
          <w:bCs/>
          <w:color w:val="auto"/>
          <w:sz w:val="36"/>
          <w:szCs w:val="30"/>
          <w:highlight w:val="none"/>
        </w:rPr>
        <w:t>第二篇  项目服务需求</w:t>
      </w:r>
      <w:bookmarkEnd w:id="76"/>
      <w:bookmarkEnd w:id="77"/>
      <w:bookmarkEnd w:id="78"/>
    </w:p>
    <w:p>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79" w:name="_Toc14460"/>
      <w:bookmarkEnd w:id="79"/>
      <w:bookmarkStart w:id="80" w:name="_Toc76462325"/>
      <w:bookmarkEnd w:id="80"/>
      <w:bookmarkStart w:id="81" w:name="_Toc106030879"/>
      <w:bookmarkEnd w:id="81"/>
      <w:bookmarkStart w:id="82" w:name="_Toc24129"/>
      <w:bookmarkStart w:id="83" w:name="_Toc65660339"/>
      <w:bookmarkStart w:id="84" w:name="_Toc446"/>
      <w:bookmarkStart w:id="85" w:name="_Toc106034779"/>
      <w:bookmarkStart w:id="86" w:name="_Toc26971"/>
      <w:bookmarkStart w:id="87" w:name="_Toc30679"/>
      <w:bookmarkStart w:id="88" w:name="_Toc23224"/>
      <w:bookmarkStart w:id="89" w:name="_Toc12789058"/>
      <w:bookmarkStart w:id="90" w:name="_Toc8186"/>
      <w:r>
        <w:rPr>
          <w:rFonts w:hint="eastAsia" w:ascii="宋体" w:hAnsi="宋体" w:eastAsia="宋体" w:cs="宋体"/>
          <w:sz w:val="24"/>
          <w:highlight w:val="none"/>
        </w:rPr>
        <w:t>一、项目一览表</w:t>
      </w:r>
      <w:bookmarkEnd w:id="82"/>
      <w:bookmarkEnd w:id="83"/>
      <w:bookmarkEnd w:id="84"/>
      <w:bookmarkEnd w:id="85"/>
      <w:bookmarkEnd w:id="86"/>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1351"/>
        <w:gridCol w:w="1770"/>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69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lang w:val="en-US" w:eastAsia="zh-CN"/>
              </w:rPr>
              <w:t>项目</w:t>
            </w:r>
            <w:r>
              <w:rPr>
                <w:rFonts w:hint="eastAsia" w:ascii="宋体" w:hAnsi="宋体" w:eastAsia="宋体" w:cs="宋体"/>
                <w:b/>
                <w:bCs/>
                <w:kern w:val="0"/>
                <w:sz w:val="21"/>
                <w:szCs w:val="24"/>
                <w:highlight w:val="none"/>
              </w:rPr>
              <w:t>名称</w:t>
            </w:r>
          </w:p>
        </w:tc>
        <w:tc>
          <w:tcPr>
            <w:tcW w:w="135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rPr>
              <w:t>最</w:t>
            </w:r>
            <w:r>
              <w:rPr>
                <w:rFonts w:hint="eastAsia" w:ascii="宋体" w:hAnsi="宋体" w:eastAsia="宋体" w:cs="宋体"/>
                <w:b/>
                <w:bCs/>
                <w:kern w:val="0"/>
                <w:sz w:val="21"/>
                <w:szCs w:val="24"/>
                <w:highlight w:val="none"/>
                <w:lang w:val="en-US" w:eastAsia="zh-CN"/>
              </w:rPr>
              <w:t>低</w:t>
            </w:r>
            <w:r>
              <w:rPr>
                <w:rFonts w:hint="eastAsia" w:ascii="宋体" w:hAnsi="宋体" w:eastAsia="宋体" w:cs="宋体"/>
                <w:b/>
                <w:bCs/>
                <w:kern w:val="0"/>
                <w:sz w:val="21"/>
                <w:szCs w:val="24"/>
                <w:highlight w:val="none"/>
              </w:rPr>
              <w:t>限价（万元</w:t>
            </w:r>
            <w:r>
              <w:rPr>
                <w:rFonts w:hint="eastAsia" w:ascii="宋体" w:hAnsi="宋体" w:eastAsia="宋体" w:cs="宋体"/>
                <w:b/>
                <w:bCs/>
                <w:kern w:val="0"/>
                <w:sz w:val="21"/>
                <w:szCs w:val="24"/>
                <w:highlight w:val="none"/>
                <w:lang w:val="en-US" w:eastAsia="zh-CN"/>
              </w:rPr>
              <w:t>/年</w:t>
            </w:r>
            <w:r>
              <w:rPr>
                <w:rFonts w:hint="eastAsia" w:ascii="宋体" w:hAnsi="宋体" w:eastAsia="宋体" w:cs="宋体"/>
                <w:b/>
                <w:bCs/>
                <w:kern w:val="0"/>
                <w:sz w:val="21"/>
                <w:szCs w:val="24"/>
                <w:highlight w:val="none"/>
              </w:rPr>
              <w:t>）</w:t>
            </w:r>
          </w:p>
        </w:tc>
        <w:tc>
          <w:tcPr>
            <w:tcW w:w="177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rPr>
              <w:t>成交供应商数量（名）</w:t>
            </w:r>
          </w:p>
        </w:tc>
        <w:tc>
          <w:tcPr>
            <w:tcW w:w="25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4"/>
                <w:highlight w:val="none"/>
                <w:lang w:eastAsia="zh-CN"/>
              </w:rPr>
            </w:pPr>
            <w:r>
              <w:rPr>
                <w:rFonts w:hint="eastAsia" w:ascii="宋体" w:hAnsi="宋体" w:cs="宋体"/>
                <w:kern w:val="0"/>
                <w:sz w:val="21"/>
                <w:szCs w:val="24"/>
                <w:highlight w:val="none"/>
                <w:lang w:eastAsia="zh-CN"/>
              </w:rPr>
              <w:t>重庆园博园主入口室外停车场充电桩项目（重新招标）</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highlight w:val="none"/>
              </w:rPr>
            </w:pPr>
            <w:r>
              <w:rPr>
                <w:rFonts w:hint="eastAsia" w:ascii="宋体" w:hAnsi="宋体" w:eastAsia="宋体" w:cs="宋体"/>
                <w:sz w:val="21"/>
                <w:szCs w:val="21"/>
                <w:highlight w:val="none"/>
                <w:lang w:val="en-US" w:eastAsia="zh-CN"/>
              </w:rPr>
              <w:t>4.5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采取纯租赁的形式，充电桩不低于18个，合作期5年。</w:t>
            </w:r>
          </w:p>
        </w:tc>
      </w:tr>
    </w:tbl>
    <w:p>
      <w:pPr>
        <w:pStyle w:val="4"/>
        <w:adjustRightInd w:val="0"/>
        <w:snapToGrid w:val="0"/>
        <w:spacing w:before="0" w:after="0" w:line="400" w:lineRule="exact"/>
        <w:ind w:firstLine="482" w:firstLineChars="200"/>
        <w:rPr>
          <w:rFonts w:hint="default" w:ascii="宋体" w:hAnsi="宋体" w:eastAsia="宋体" w:cs="宋体"/>
          <w:sz w:val="24"/>
          <w:highlight w:val="none"/>
          <w:lang w:val="en-US"/>
        </w:rPr>
      </w:pPr>
      <w:bookmarkStart w:id="91" w:name="_Toc11439"/>
      <w:bookmarkStart w:id="92" w:name="_Toc106034780"/>
      <w:bookmarkStart w:id="93" w:name="_Toc65660340"/>
      <w:bookmarkStart w:id="94" w:name="_Toc2119"/>
      <w:bookmarkStart w:id="95" w:name="_Toc10723"/>
      <w:r>
        <w:rPr>
          <w:rFonts w:hint="eastAsia" w:ascii="宋体" w:hAnsi="宋体" w:eastAsia="宋体" w:cs="宋体"/>
          <w:sz w:val="24"/>
          <w:highlight w:val="none"/>
        </w:rPr>
        <w:t>二、</w:t>
      </w:r>
      <w:bookmarkEnd w:id="91"/>
      <w:bookmarkEnd w:id="92"/>
      <w:bookmarkEnd w:id="93"/>
      <w:bookmarkEnd w:id="94"/>
      <w:bookmarkEnd w:id="95"/>
      <w:r>
        <w:rPr>
          <w:rFonts w:hint="eastAsia" w:ascii="宋体" w:hAnsi="宋体" w:eastAsia="宋体" w:cs="宋体"/>
          <w:sz w:val="24"/>
          <w:highlight w:val="none"/>
          <w:lang w:val="en-US" w:eastAsia="zh-CN"/>
        </w:rPr>
        <w:t>项目内容</w:t>
      </w:r>
    </w:p>
    <w:p>
      <w:pPr>
        <w:snapToGrid w:val="0"/>
        <w:spacing w:line="400" w:lineRule="exact"/>
        <w:ind w:firstLine="360" w:firstLineChars="1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充电车位除了超充能独立管理，其余均开放管理。</w:t>
      </w:r>
    </w:p>
    <w:p>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2.采取</w:t>
      </w:r>
      <w:r>
        <w:rPr>
          <w:rFonts w:hint="eastAsia" w:ascii="宋体" w:hAnsi="宋体" w:eastAsia="宋体" w:cs="宋体"/>
          <w:sz w:val="24"/>
          <w:szCs w:val="24"/>
          <w:highlight w:val="none"/>
          <w:lang w:val="en-US" w:eastAsia="zh-CN"/>
        </w:rPr>
        <w:t>纯</w:t>
      </w:r>
      <w:r>
        <w:rPr>
          <w:rFonts w:hint="eastAsia" w:ascii="宋体" w:hAnsi="宋体" w:eastAsia="宋体" w:cs="宋体"/>
          <w:sz w:val="24"/>
          <w:szCs w:val="24"/>
          <w:highlight w:val="none"/>
        </w:rPr>
        <w:t>租赁的形式</w:t>
      </w:r>
      <w:r>
        <w:rPr>
          <w:rFonts w:hint="eastAsia" w:ascii="宋体" w:hAnsi="宋体" w:eastAsia="宋体" w:cs="宋体"/>
          <w:sz w:val="24"/>
          <w:szCs w:val="24"/>
          <w:highlight w:val="none"/>
          <w:lang w:val="en-US" w:eastAsia="zh-CN"/>
        </w:rPr>
        <w:t>。最低限价为4.5万元/年，供应商报价不低于最低限价，否则按无效处理。</w:t>
      </w:r>
    </w:p>
    <w:p>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最低建设数量：充电桩总计建设数量不低于18个。建设方案需提前征得业主方同意，并提交产品质检报告。</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lang w:val="en-US" w:eastAsia="zh-CN"/>
        </w:rPr>
        <w:t>自行承担修建充电桩的全部费用，</w:t>
      </w:r>
      <w:r>
        <w:rPr>
          <w:rFonts w:hint="eastAsia" w:ascii="宋体" w:hAnsi="宋体" w:eastAsia="宋体" w:cs="宋体"/>
          <w:sz w:val="24"/>
          <w:szCs w:val="24"/>
          <w:highlight w:val="none"/>
          <w:lang w:eastAsia="zh-CN"/>
        </w:rPr>
        <w:t>建设完成后成交供应商提供租赁服务，并实施租赁期内的免费维护保养、运营。</w:t>
      </w:r>
    </w:p>
    <w:p>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4.5年合同期内</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lang w:val="en-US" w:eastAsia="zh-CN"/>
        </w:rPr>
        <w:t>应无条件服从比选人的管理，合同到期后，如比选人需恢复原状，</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lang w:val="en-US" w:eastAsia="zh-CN"/>
        </w:rPr>
        <w:t>应无条件恢复原状。</w:t>
      </w:r>
    </w:p>
    <w:p>
      <w:pPr>
        <w:keepNext w:val="0"/>
        <w:keepLines w:val="0"/>
        <w:widowControl/>
        <w:suppressLineNumbers w:val="0"/>
        <w:ind w:firstLine="482" w:firstLineChars="200"/>
        <w:jc w:val="left"/>
        <w:rPr>
          <w:rFonts w:hint="eastAsia" w:ascii="宋体" w:hAnsi="宋体" w:eastAsia="宋体" w:cs="宋体"/>
          <w:b/>
          <w:sz w:val="24"/>
          <w:highlight w:val="none"/>
        </w:rPr>
      </w:pPr>
      <w:r>
        <w:rPr>
          <w:rFonts w:hint="eastAsia" w:ascii="宋体" w:hAnsi="宋体" w:eastAsia="宋体" w:cs="宋体"/>
          <w:b/>
          <w:bCs w:val="0"/>
          <w:sz w:val="24"/>
          <w:szCs w:val="20"/>
          <w:highlight w:val="none"/>
          <w:vertAlign w:val="baseline"/>
          <w:lang w:val="en-US" w:eastAsia="zh-CN"/>
        </w:rPr>
        <w:t>三、充电桩</w:t>
      </w:r>
      <w:r>
        <w:rPr>
          <w:rFonts w:hint="eastAsia" w:ascii="宋体" w:hAnsi="宋体" w:eastAsia="宋体" w:cs="宋体"/>
          <w:b/>
          <w:bCs w:val="0"/>
          <w:kern w:val="2"/>
          <w:sz w:val="24"/>
          <w:szCs w:val="20"/>
          <w:highlight w:val="none"/>
          <w:lang w:val="en-US" w:eastAsia="zh-CN" w:bidi="ar-SA"/>
        </w:rPr>
        <w:t>适用技术规范与规范性文件</w:t>
      </w:r>
    </w:p>
    <w:p>
      <w:pPr>
        <w:snapToGrid w:val="0"/>
        <w:spacing w:line="400" w:lineRule="exact"/>
        <w:ind w:firstLine="480" w:firstLineChars="200"/>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充电桩的建设包括但不限于以下标准文件：</w:t>
      </w:r>
    </w:p>
    <w:p>
      <w:pPr>
        <w:snapToGrid w:val="0"/>
        <w:spacing w:line="400" w:lineRule="exact"/>
        <w:ind w:firstLine="480" w:firstLineChars="200"/>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（1）GB/T 18487.1-2023</w:t>
      </w:r>
      <w:r>
        <w:rPr>
          <w:rFonts w:hint="default" w:ascii="宋体" w:hAnsi="宋体" w:eastAsia="宋体" w:cs="宋体"/>
          <w:b w:val="0"/>
          <w:bCs w:val="0"/>
          <w:sz w:val="24"/>
          <w:szCs w:val="24"/>
          <w:highlight w:val="none"/>
          <w:vertAlign w:val="baseline"/>
          <w:lang w:val="en-US" w:eastAsia="zh-CN"/>
        </w:rPr>
        <w:t>《电动汽车传导充电系统 第1部分：通用要求》</w:t>
      </w:r>
    </w:p>
    <w:p>
      <w:pPr>
        <w:snapToGrid w:val="0"/>
        <w:spacing w:line="400" w:lineRule="exact"/>
        <w:ind w:firstLine="480" w:firstLineChars="200"/>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r>
        <w:rPr>
          <w:rFonts w:hint="default" w:ascii="宋体" w:hAnsi="宋体" w:eastAsia="宋体" w:cs="宋体"/>
          <w:b w:val="0"/>
          <w:bCs w:val="0"/>
          <w:sz w:val="24"/>
          <w:szCs w:val="24"/>
          <w:highlight w:val="none"/>
          <w:vertAlign w:val="baseline"/>
          <w:lang w:val="en-US" w:eastAsia="zh-CN"/>
        </w:rPr>
        <w:t>NB/T33001-2018《电动汽车非车载传导式充电机技术条件》</w:t>
      </w:r>
    </w:p>
    <w:p>
      <w:pPr>
        <w:snapToGrid w:val="0"/>
        <w:spacing w:line="400" w:lineRule="exact"/>
        <w:ind w:left="476" w:leftChars="170" w:firstLine="0" w:firstLineChars="0"/>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r>
        <w:rPr>
          <w:rFonts w:hint="default" w:ascii="宋体" w:hAnsi="宋体" w:eastAsia="宋体" w:cs="宋体"/>
          <w:b w:val="0"/>
          <w:bCs w:val="0"/>
          <w:sz w:val="24"/>
          <w:szCs w:val="24"/>
          <w:highlight w:val="none"/>
          <w:vertAlign w:val="baseline"/>
          <w:lang w:val="en-US" w:eastAsia="zh-CN"/>
        </w:rPr>
        <w:t>NB/T33008.1-2018《电动汽车充电设备检验试验规范 第 1 部分:非车载充电机》</w:t>
      </w:r>
      <w:r>
        <w:rPr>
          <w:rFonts w:hint="eastAsia" w:ascii="宋体" w:hAnsi="宋体" w:eastAsia="宋体" w:cs="宋体"/>
          <w:b w:val="0"/>
          <w:bCs w:val="0"/>
          <w:sz w:val="24"/>
          <w:szCs w:val="24"/>
          <w:highlight w:val="none"/>
          <w:vertAlign w:val="baseline"/>
          <w:lang w:val="en-US" w:eastAsia="zh-CN"/>
        </w:rPr>
        <w:t>（4）</w:t>
      </w:r>
      <w:r>
        <w:rPr>
          <w:rFonts w:hint="default" w:ascii="宋体" w:hAnsi="宋体" w:eastAsia="宋体" w:cs="宋体"/>
          <w:b w:val="0"/>
          <w:bCs w:val="0"/>
          <w:sz w:val="24"/>
          <w:szCs w:val="24"/>
          <w:highlight w:val="none"/>
          <w:vertAlign w:val="baseline"/>
          <w:lang w:val="en-US" w:eastAsia="zh-CN"/>
        </w:rPr>
        <w:t>GB/T34657.1-2017《电动汽车传导充电互操作性测试规范 第 1 部分:供电设备》</w:t>
      </w:r>
      <w:r>
        <w:rPr>
          <w:rFonts w:hint="eastAsia" w:ascii="宋体" w:hAnsi="宋体" w:eastAsia="宋体" w:cs="宋体"/>
          <w:b w:val="0"/>
          <w:bCs w:val="0"/>
          <w:sz w:val="24"/>
          <w:szCs w:val="24"/>
          <w:highlight w:val="none"/>
          <w:vertAlign w:val="baseline"/>
          <w:lang w:val="en-US" w:eastAsia="zh-CN"/>
        </w:rPr>
        <w:t>（5）</w:t>
      </w:r>
      <w:r>
        <w:rPr>
          <w:rFonts w:ascii="宋体" w:hAnsi="宋体" w:eastAsia="宋体" w:cs="宋体"/>
          <w:b w:val="0"/>
          <w:i w:val="0"/>
          <w:iCs w:val="0"/>
          <w:caps w:val="0"/>
          <w:spacing w:val="0"/>
          <w:sz w:val="24"/>
          <w:szCs w:val="24"/>
          <w:highlight w:val="none"/>
          <w:shd w:val="clear" w:color="auto" w:fill="auto"/>
        </w:rPr>
        <w:t>GB/T 27930-2023</w:t>
      </w:r>
      <w:r>
        <w:rPr>
          <w:rFonts w:hint="default" w:ascii="宋体" w:hAnsi="宋体" w:eastAsia="宋体" w:cs="宋体"/>
          <w:b w:val="0"/>
          <w:bCs w:val="0"/>
          <w:sz w:val="24"/>
          <w:szCs w:val="24"/>
          <w:highlight w:val="none"/>
          <w:vertAlign w:val="baseline"/>
          <w:lang w:val="en-US" w:eastAsia="zh-CN"/>
        </w:rPr>
        <w:t>《非车载传导式充电机与电动汽车之间的数字通信协议》</w:t>
      </w:r>
    </w:p>
    <w:p>
      <w:pPr>
        <w:snapToGrid w:val="0"/>
        <w:spacing w:line="400" w:lineRule="exact"/>
        <w:ind w:left="476" w:leftChars="170" w:firstLine="0" w:firstLineChars="0"/>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r>
        <w:rPr>
          <w:rFonts w:hint="default" w:ascii="宋体" w:hAnsi="宋体" w:eastAsia="宋体" w:cs="宋体"/>
          <w:b w:val="0"/>
          <w:bCs w:val="0"/>
          <w:sz w:val="24"/>
          <w:szCs w:val="24"/>
          <w:highlight w:val="none"/>
          <w:vertAlign w:val="baseline"/>
          <w:lang w:val="en-US" w:eastAsia="zh-CN"/>
        </w:rPr>
        <w:t>GB/T34658-2017《电动汽车非车载传导式充电机与电池管理系统之间的通信协议一致性测试》</w:t>
      </w:r>
    </w:p>
    <w:p>
      <w:pPr>
        <w:snapToGrid w:val="0"/>
        <w:spacing w:line="400" w:lineRule="exact"/>
        <w:ind w:left="476" w:leftChars="170" w:firstLine="0" w:firstLineChars="0"/>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r>
        <w:rPr>
          <w:rFonts w:hint="default" w:ascii="宋体" w:hAnsi="宋体" w:eastAsia="宋体" w:cs="宋体"/>
          <w:b w:val="0"/>
          <w:bCs w:val="0"/>
          <w:sz w:val="24"/>
          <w:szCs w:val="24"/>
          <w:highlight w:val="none"/>
          <w:vertAlign w:val="baseline"/>
          <w:lang w:val="en-US" w:eastAsia="zh-CN"/>
        </w:rPr>
        <w:t>GB/T39752-2021《电动汽车供电设备安全要求及试验规范》</w:t>
      </w:r>
    </w:p>
    <w:p>
      <w:pPr>
        <w:snapToGrid w:val="0"/>
        <w:spacing w:line="400" w:lineRule="exact"/>
        <w:ind w:left="476" w:leftChars="170" w:firstLine="0" w:firstLineChars="0"/>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r>
        <w:rPr>
          <w:rFonts w:hint="default" w:ascii="宋体" w:hAnsi="宋体" w:eastAsia="宋体" w:cs="宋体"/>
          <w:b w:val="0"/>
          <w:bCs w:val="0"/>
          <w:sz w:val="24"/>
          <w:szCs w:val="24"/>
          <w:highlight w:val="none"/>
          <w:vertAlign w:val="baseline"/>
          <w:lang w:val="en-US" w:eastAsia="zh-CN"/>
        </w:rPr>
        <w:t>GB/T18487.2-2017《电动汽车传导充电系统 第2部分:非车载传导供电设备电磁兼容要求》</w:t>
      </w:r>
    </w:p>
    <w:p>
      <w:pPr>
        <w:snapToGrid w:val="0"/>
        <w:spacing w:line="400" w:lineRule="exact"/>
        <w:ind w:firstLine="480" w:firstLineChars="200"/>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（9）《电动汽车充电设施建设技术标准》（DBJ50</w:t>
      </w:r>
      <w:r>
        <w:rPr>
          <w:rFonts w:hint="eastAsia" w:ascii="宋体" w:hAnsi="宋体" w:cs="宋体"/>
          <w:b w:val="0"/>
          <w:bCs w:val="0"/>
          <w:sz w:val="24"/>
          <w:szCs w:val="24"/>
          <w:highlight w:val="none"/>
          <w:vertAlign w:val="baseline"/>
          <w:lang w:val="en-US" w:eastAsia="zh-CN"/>
        </w:rPr>
        <w:t>-</w:t>
      </w:r>
      <w:r>
        <w:rPr>
          <w:rFonts w:hint="eastAsia" w:ascii="宋体" w:hAnsi="宋体" w:eastAsia="宋体" w:cs="宋体"/>
          <w:b w:val="0"/>
          <w:bCs w:val="0"/>
          <w:sz w:val="24"/>
          <w:szCs w:val="24"/>
          <w:highlight w:val="none"/>
          <w:vertAlign w:val="baseline"/>
          <w:lang w:val="en-US" w:eastAsia="zh-CN"/>
        </w:rPr>
        <w:t>218-2020）</w:t>
      </w:r>
    </w:p>
    <w:p>
      <w:pPr>
        <w:snapToGrid w:val="0"/>
        <w:spacing w:line="400" w:lineRule="exact"/>
        <w:ind w:firstLine="482" w:firstLineChars="200"/>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四、技术要求</w:t>
      </w:r>
    </w:p>
    <w:p>
      <w:pPr>
        <w:snapToGrid w:val="0"/>
        <w:spacing w:line="400" w:lineRule="exact"/>
        <w:ind w:firstLine="480" w:firstLineChars="200"/>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1.充电桩数量及规格</w:t>
      </w:r>
    </w:p>
    <w:tbl>
      <w:tblPr>
        <w:tblStyle w:val="60"/>
        <w:tblW w:w="8739" w:type="dxa"/>
        <w:jc w:val="center"/>
        <w:tblLayout w:type="fixed"/>
        <w:tblCellMar>
          <w:top w:w="0" w:type="dxa"/>
          <w:left w:w="108" w:type="dxa"/>
          <w:bottom w:w="0" w:type="dxa"/>
          <w:right w:w="108" w:type="dxa"/>
        </w:tblCellMar>
      </w:tblPr>
      <w:tblGrid>
        <w:gridCol w:w="811"/>
        <w:gridCol w:w="1467"/>
        <w:gridCol w:w="2582"/>
        <w:gridCol w:w="1290"/>
        <w:gridCol w:w="930"/>
        <w:gridCol w:w="1659"/>
      </w:tblGrid>
      <w:tr>
        <w:tblPrEx>
          <w:tblCellMar>
            <w:top w:w="0" w:type="dxa"/>
            <w:left w:w="108" w:type="dxa"/>
            <w:bottom w:w="0" w:type="dxa"/>
            <w:right w:w="108" w:type="dxa"/>
          </w:tblCellMar>
        </w:tblPrEx>
        <w:trPr>
          <w:trHeight w:val="649" w:hRule="atLeast"/>
          <w:jc w:val="center"/>
        </w:trPr>
        <w:tc>
          <w:tcPr>
            <w:tcW w:w="811" w:type="dxa"/>
            <w:tcBorders>
              <w:top w:val="single" w:color="000000" w:sz="4" w:space="0"/>
              <w:left w:val="single" w:color="000000" w:sz="4" w:space="0"/>
              <w:bottom w:val="single" w:color="000000" w:sz="4" w:space="0"/>
              <w:right w:val="single" w:color="000000" w:sz="4" w:space="0"/>
            </w:tcBorders>
            <w:noWrap w:val="0"/>
            <w:tcMar>
              <w:top w:w="15" w:type="dxa"/>
              <w:bottom w:w="15" w:type="dxa"/>
            </w:tcMar>
            <w:vAlign w:val="center"/>
          </w:tcPr>
          <w:p>
            <w:pPr>
              <w:widowControl/>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bottom w:w="15" w:type="dxa"/>
            </w:tcMar>
            <w:vAlign w:val="center"/>
          </w:tcPr>
          <w:p>
            <w:pPr>
              <w:widowControl/>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 名</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930" w:type="dxa"/>
            <w:tcBorders>
              <w:top w:val="single" w:color="000000" w:sz="4" w:space="0"/>
              <w:left w:val="single" w:color="000000" w:sz="4" w:space="0"/>
              <w:bottom w:val="single" w:color="auto" w:sz="4" w:space="0"/>
              <w:right w:val="single" w:color="000000" w:sz="4" w:space="0"/>
            </w:tcBorders>
            <w:noWrap w:val="0"/>
            <w:tcMar>
              <w:top w:w="15" w:type="dxa"/>
              <w:bottom w:w="15" w:type="dxa"/>
            </w:tcMar>
            <w:vAlign w:val="center"/>
          </w:tcPr>
          <w:p>
            <w:pPr>
              <w:widowControl/>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1659" w:type="dxa"/>
            <w:tcBorders>
              <w:top w:val="single" w:color="000000" w:sz="4" w:space="0"/>
              <w:left w:val="single" w:color="000000" w:sz="4" w:space="0"/>
              <w:bottom w:val="single" w:color="auto" w:sz="4" w:space="0"/>
              <w:right w:val="single" w:color="000000" w:sz="4" w:space="0"/>
            </w:tcBorders>
            <w:noWrap w:val="0"/>
            <w:tcMar>
              <w:top w:w="15" w:type="dxa"/>
              <w:bottom w:w="15" w:type="dxa"/>
            </w:tcMar>
            <w:vAlign w:val="center"/>
          </w:tcPr>
          <w:p>
            <w:pPr>
              <w:widowControl/>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pPr>
              <w:widowControl/>
              <w:spacing w:line="360" w:lineRule="auto"/>
              <w:jc w:val="center"/>
              <w:rPr>
                <w:rFonts w:hint="eastAsia" w:ascii="宋体" w:hAnsi="宋体" w:eastAsia="宋体" w:cs="宋体"/>
                <w:b/>
                <w:bCs/>
                <w:sz w:val="21"/>
                <w:szCs w:val="21"/>
                <w:highlight w:val="none"/>
                <w:lang w:val="en-US" w:eastAsia="zh-CN"/>
              </w:rPr>
            </w:pPr>
          </w:p>
        </w:tc>
      </w:tr>
      <w:tr>
        <w:tblPrEx>
          <w:tblCellMar>
            <w:top w:w="0" w:type="dxa"/>
            <w:left w:w="108" w:type="dxa"/>
            <w:bottom w:w="0" w:type="dxa"/>
            <w:right w:w="108" w:type="dxa"/>
          </w:tblCellMar>
        </w:tblPrEx>
        <w:trPr>
          <w:trHeight w:val="835" w:hRule="atLeast"/>
          <w:jc w:val="center"/>
        </w:trPr>
        <w:tc>
          <w:tcPr>
            <w:tcW w:w="811" w:type="dxa"/>
            <w:tcBorders>
              <w:top w:val="single" w:color="000000" w:sz="4" w:space="0"/>
              <w:left w:val="single" w:color="000000" w:sz="4" w:space="0"/>
              <w:bottom w:val="single" w:color="000000" w:sz="4" w:space="0"/>
              <w:right w:val="single" w:color="000000" w:sz="4" w:space="0"/>
            </w:tcBorders>
            <w:noWrap w:val="0"/>
            <w:tcMar>
              <w:top w:w="15" w:type="dxa"/>
              <w:bottom w:w="15" w:type="dxa"/>
            </w:tcMar>
            <w:vAlign w:val="center"/>
          </w:tcPr>
          <w:p>
            <w:pPr>
              <w:widowControl/>
              <w:numPr>
                <w:ilvl w:val="0"/>
                <w:numId w:val="13"/>
              </w:numPr>
              <w:spacing w:line="240" w:lineRule="auto"/>
              <w:ind w:left="630" w:leftChars="0" w:hanging="420" w:firstLineChars="0"/>
              <w:jc w:val="center"/>
              <w:rPr>
                <w:rFonts w:hint="eastAsia" w:ascii="宋体" w:hAnsi="宋体" w:eastAsia="宋体" w:cs="宋体"/>
                <w:bCs/>
                <w:sz w:val="21"/>
                <w:szCs w:val="21"/>
                <w:highlight w:val="none"/>
              </w:rPr>
            </w:pPr>
          </w:p>
        </w:tc>
        <w:tc>
          <w:tcPr>
            <w:tcW w:w="1467" w:type="dxa"/>
            <w:tcBorders>
              <w:top w:val="single" w:color="000000" w:sz="4" w:space="0"/>
              <w:left w:val="single" w:color="000000" w:sz="4" w:space="0"/>
              <w:bottom w:val="single" w:color="000000" w:sz="4" w:space="0"/>
              <w:right w:val="single" w:color="000000" w:sz="4" w:space="0"/>
            </w:tcBorders>
            <w:noWrap w:val="0"/>
            <w:tcMar>
              <w:top w:w="15" w:type="dxa"/>
              <w:bottom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充电主机</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480-600KW全液冷主机</w:t>
            </w:r>
          </w:p>
        </w:tc>
        <w:tc>
          <w:tcPr>
            <w:tcW w:w="12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台</w:t>
            </w:r>
          </w:p>
        </w:tc>
        <w:tc>
          <w:tcPr>
            <w:tcW w:w="930" w:type="dxa"/>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659" w:type="dxa"/>
            <w:vMerge w:val="restar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sz w:val="21"/>
                <w:szCs w:val="21"/>
                <w:highlight w:val="none"/>
                <w:lang w:val="en-US" w:eastAsia="zh-CN"/>
              </w:rPr>
              <w:t>充电桩数量不低于18个</w:t>
            </w:r>
          </w:p>
        </w:tc>
      </w:tr>
      <w:tr>
        <w:tblPrEx>
          <w:tblCellMar>
            <w:top w:w="0" w:type="dxa"/>
            <w:left w:w="108" w:type="dxa"/>
            <w:bottom w:w="0" w:type="dxa"/>
            <w:right w:w="108" w:type="dxa"/>
          </w:tblCellMar>
        </w:tblPrEx>
        <w:trPr>
          <w:trHeight w:val="649" w:hRule="atLeast"/>
          <w:jc w:val="center"/>
        </w:trPr>
        <w:tc>
          <w:tcPr>
            <w:tcW w:w="811" w:type="dxa"/>
            <w:tcBorders>
              <w:top w:val="single" w:color="000000" w:sz="4" w:space="0"/>
              <w:left w:val="single" w:color="000000" w:sz="4" w:space="0"/>
              <w:bottom w:val="single" w:color="000000" w:sz="4" w:space="0"/>
              <w:right w:val="single" w:color="000000" w:sz="4" w:space="0"/>
            </w:tcBorders>
            <w:noWrap w:val="0"/>
            <w:tcMar>
              <w:top w:w="15" w:type="dxa"/>
              <w:bottom w:w="15" w:type="dxa"/>
            </w:tcMar>
            <w:vAlign w:val="center"/>
          </w:tcPr>
          <w:p>
            <w:pPr>
              <w:widowControl/>
              <w:numPr>
                <w:ilvl w:val="0"/>
                <w:numId w:val="13"/>
              </w:numPr>
              <w:spacing w:line="240" w:lineRule="auto"/>
              <w:ind w:left="630" w:leftChars="0" w:hanging="420" w:firstLineChars="0"/>
              <w:jc w:val="center"/>
              <w:rPr>
                <w:rFonts w:hint="eastAsia" w:ascii="宋体" w:hAnsi="宋体" w:eastAsia="宋体" w:cs="宋体"/>
                <w:bCs/>
                <w:sz w:val="21"/>
                <w:szCs w:val="21"/>
                <w:highlight w:val="none"/>
              </w:rPr>
            </w:pPr>
          </w:p>
        </w:tc>
        <w:tc>
          <w:tcPr>
            <w:tcW w:w="1467" w:type="dxa"/>
            <w:tcBorders>
              <w:top w:val="single" w:color="000000" w:sz="4" w:space="0"/>
              <w:left w:val="single" w:color="000000" w:sz="4" w:space="0"/>
              <w:bottom w:val="single" w:color="000000" w:sz="4" w:space="0"/>
              <w:right w:val="single" w:color="000000" w:sz="4" w:space="0"/>
            </w:tcBorders>
            <w:noWrap w:val="0"/>
            <w:tcMar>
              <w:top w:w="15" w:type="dxa"/>
              <w:bottom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充电终端</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200-1000V,600A,液冷单枪</w:t>
            </w:r>
          </w:p>
        </w:tc>
        <w:tc>
          <w:tcPr>
            <w:tcW w:w="12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台</w:t>
            </w:r>
          </w:p>
        </w:tc>
        <w:tc>
          <w:tcPr>
            <w:tcW w:w="930" w:type="dxa"/>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659" w:type="dxa"/>
            <w:vMerge w:val="continue"/>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649" w:hRule="atLeast"/>
          <w:jc w:val="center"/>
        </w:trPr>
        <w:tc>
          <w:tcPr>
            <w:tcW w:w="811" w:type="dxa"/>
            <w:tcBorders>
              <w:top w:val="single" w:color="000000" w:sz="4" w:space="0"/>
              <w:left w:val="single" w:color="000000" w:sz="4" w:space="0"/>
              <w:bottom w:val="single" w:color="auto" w:sz="4" w:space="0"/>
              <w:right w:val="single" w:color="000000" w:sz="4" w:space="0"/>
            </w:tcBorders>
            <w:noWrap w:val="0"/>
            <w:tcMar>
              <w:top w:w="15" w:type="dxa"/>
              <w:bottom w:w="15" w:type="dxa"/>
            </w:tcMar>
            <w:vAlign w:val="center"/>
          </w:tcPr>
          <w:p>
            <w:pPr>
              <w:widowControl/>
              <w:numPr>
                <w:ilvl w:val="0"/>
                <w:numId w:val="13"/>
              </w:numPr>
              <w:spacing w:line="240" w:lineRule="auto"/>
              <w:ind w:left="630" w:leftChars="0" w:hanging="420" w:firstLineChars="0"/>
              <w:jc w:val="center"/>
              <w:rPr>
                <w:rFonts w:hint="eastAsia" w:ascii="宋体" w:hAnsi="宋体" w:eastAsia="宋体" w:cs="宋体"/>
                <w:bCs/>
                <w:sz w:val="21"/>
                <w:szCs w:val="21"/>
                <w:highlight w:val="none"/>
              </w:rPr>
            </w:pPr>
          </w:p>
        </w:tc>
        <w:tc>
          <w:tcPr>
            <w:tcW w:w="146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bottom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充电终端</w:t>
            </w:r>
          </w:p>
        </w:tc>
        <w:tc>
          <w:tcPr>
            <w:tcW w:w="258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200-1000V,250A,风冷双枪</w:t>
            </w:r>
          </w:p>
        </w:tc>
        <w:tc>
          <w:tcPr>
            <w:tcW w:w="129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台</w:t>
            </w:r>
          </w:p>
        </w:tc>
        <w:tc>
          <w:tcPr>
            <w:tcW w:w="930" w:type="dxa"/>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659" w:type="dxa"/>
            <w:vMerge w:val="continue"/>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896" w:hRule="atLeast"/>
          <w:jc w:val="center"/>
        </w:trPr>
        <w:tc>
          <w:tcPr>
            <w:tcW w:w="8739" w:type="dxa"/>
            <w:gridSpan w:val="6"/>
            <w:tcBorders>
              <w:top w:val="single" w:color="auto" w:sz="4" w:space="0"/>
              <w:left w:val="single" w:color="000000" w:sz="4" w:space="0"/>
              <w:bottom w:val="single" w:color="000000" w:sz="4" w:space="0"/>
              <w:right w:val="single" w:color="000000" w:sz="4" w:space="0"/>
            </w:tcBorders>
            <w:noWrap w:val="0"/>
            <w:tcMar>
              <w:top w:w="15" w:type="dxa"/>
              <w:bottom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备注：成交供应商实施本项目必须满足此表的基本要求参数，也可提供更高标准技术参数，否则比选人有权解除本项目合作协议，由此导致的损失由成交供应商自行承担。</w:t>
            </w:r>
          </w:p>
        </w:tc>
      </w:tr>
    </w:tbl>
    <w:p>
      <w:pPr>
        <w:snapToGrid w:val="0"/>
        <w:spacing w:line="400" w:lineRule="exact"/>
        <w:ind w:firstLine="480" w:firstLineChars="200"/>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2.技术参数</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56" w:lineRule="auto"/>
        <w:ind w:leftChars="0" w:firstLine="480" w:firstLineChars="200"/>
        <w:textAlignment w:val="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（1）充电主机AC-DC总功率480KW(单模块120KW)并具备可升级能力，DC-DC总功率600KW(单模块60KW),模块为全液冷并具备带液运输特性</w:t>
      </w:r>
      <w:r>
        <w:rPr>
          <w:rFonts w:hint="eastAsia" w:ascii="宋体" w:hAnsi="宋体" w:eastAsia="宋体" w:cs="宋体"/>
          <w:b/>
          <w:bCs/>
          <w:kern w:val="2"/>
          <w:sz w:val="24"/>
          <w:szCs w:val="24"/>
          <w:highlight w:val="none"/>
          <w:lang w:val="en-US" w:eastAsia="zh-CN" w:bidi="ar-SA"/>
        </w:rPr>
        <w:t>（供应商须提供第三方的质检报告复印件，并加盖供应商公章）</w:t>
      </w:r>
      <w:r>
        <w:rPr>
          <w:rFonts w:hint="eastAsia" w:ascii="宋体" w:hAnsi="宋体" w:eastAsia="宋体" w:cs="宋体"/>
          <w:bCs w:val="0"/>
          <w:kern w:val="2"/>
          <w:sz w:val="24"/>
          <w:szCs w:val="24"/>
          <w:highlight w:val="none"/>
          <w:lang w:val="en-US" w:eastAsia="zh-CN" w:bidi="ar-SA"/>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56"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val="0"/>
          <w:kern w:val="2"/>
          <w:sz w:val="24"/>
          <w:szCs w:val="24"/>
          <w:highlight w:val="none"/>
          <w:lang w:val="en-US" w:eastAsia="zh-CN" w:bidi="ar-SA"/>
        </w:rPr>
        <w:t>（2）</w:t>
      </w:r>
      <w:r>
        <w:rPr>
          <w:rFonts w:hint="eastAsia" w:ascii="宋体" w:hAnsi="宋体" w:eastAsia="宋体" w:cs="宋体"/>
          <w:sz w:val="24"/>
          <w:szCs w:val="24"/>
          <w:highlight w:val="none"/>
          <w:lang w:val="en-US" w:eastAsia="zh-CN"/>
        </w:rPr>
        <w:t>液冷单枪</w:t>
      </w:r>
      <w:r>
        <w:rPr>
          <w:rFonts w:hint="eastAsia" w:ascii="宋体" w:hAnsi="宋体" w:eastAsia="宋体" w:cs="宋体"/>
          <w:bCs w:val="0"/>
          <w:kern w:val="2"/>
          <w:sz w:val="24"/>
          <w:szCs w:val="24"/>
          <w:highlight w:val="none"/>
          <w:lang w:val="en-US" w:eastAsia="zh-CN" w:bidi="ar-SA"/>
        </w:rPr>
        <w:t>充电终端</w:t>
      </w:r>
      <w:r>
        <w:rPr>
          <w:rFonts w:hint="eastAsia" w:ascii="宋体" w:hAnsi="宋体" w:eastAsia="宋体" w:cs="宋体"/>
          <w:sz w:val="24"/>
          <w:szCs w:val="24"/>
          <w:highlight w:val="none"/>
        </w:rPr>
        <w:t>200~1000Vdc（恒功率输出 300~1000Vdc）</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600AMax</w:t>
      </w:r>
      <w:r>
        <w:rPr>
          <w:rFonts w:hint="eastAsia" w:ascii="宋体" w:hAnsi="宋体" w:eastAsia="宋体" w:cs="宋体"/>
          <w:sz w:val="24"/>
          <w:szCs w:val="24"/>
          <w:highlight w:val="none"/>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56"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风冷双枪充电终端</w:t>
      </w:r>
      <w:r>
        <w:rPr>
          <w:rFonts w:hint="eastAsia" w:ascii="宋体" w:hAnsi="宋体" w:eastAsia="宋体" w:cs="宋体"/>
          <w:sz w:val="24"/>
          <w:szCs w:val="24"/>
          <w:highlight w:val="none"/>
        </w:rPr>
        <w:t>200~1000Vdc（恒功率输出 300~1000Vdc）</w:t>
      </w:r>
      <w:r>
        <w:rPr>
          <w:rFonts w:hint="eastAsia" w:ascii="宋体" w:hAnsi="宋体" w:eastAsia="宋体" w:cs="宋体"/>
          <w:sz w:val="24"/>
          <w:szCs w:val="24"/>
          <w:highlight w:val="none"/>
          <w:lang w:val="en-US" w:eastAsia="zh-CN"/>
        </w:rPr>
        <w:t>,单枪25</w:t>
      </w:r>
      <w:r>
        <w:rPr>
          <w:rFonts w:hint="eastAsia" w:ascii="宋体" w:hAnsi="宋体" w:eastAsia="宋体" w:cs="宋体"/>
          <w:sz w:val="24"/>
          <w:szCs w:val="24"/>
          <w:highlight w:val="none"/>
        </w:rPr>
        <w:t>0AMax</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双枪500A Max</w:t>
      </w:r>
      <w:r>
        <w:rPr>
          <w:rFonts w:hint="eastAsia" w:ascii="宋体" w:hAnsi="宋体" w:eastAsia="宋体" w:cs="宋体"/>
          <w:sz w:val="24"/>
          <w:szCs w:val="24"/>
          <w:highlight w:val="none"/>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56"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（4）输出系统效率：满载效率≥94%， 最高效率≥95%；</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56"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（5）充电桩工作温度：-35℃～+50℃（无太阳辐射，40℃以上降额）；</w:t>
      </w:r>
    </w:p>
    <w:p>
      <w:pPr>
        <w:snapToGrid w:val="0"/>
        <w:spacing w:line="400" w:lineRule="exact"/>
        <w:ind w:firstLine="480" w:firstLineChars="200"/>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sz w:val="24"/>
          <w:szCs w:val="24"/>
          <w:highlight w:val="none"/>
          <w:lang w:val="en-US" w:eastAsia="zh-CN"/>
        </w:rPr>
        <w:t>（6）充电桩噪声控制：标准模式：噪声≤60dBA@1m, 25℃；静音模式：噪声≤55dBA@1m max。</w:t>
      </w:r>
    </w:p>
    <w:p>
      <w:pPr>
        <w:snapToGrid w:val="0"/>
        <w:spacing w:line="400" w:lineRule="exact"/>
        <w:ind w:firstLine="480" w:firstLineChars="200"/>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注：供应商提供拟使用的设备品牌、规格、数量，并加盖供应商公章。</w:t>
      </w:r>
    </w:p>
    <w:p>
      <w:pPr>
        <w:snapToGrid w:val="0"/>
        <w:spacing w:line="400" w:lineRule="exact"/>
        <w:ind w:firstLine="482" w:firstLineChars="200"/>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五、现场踏勘</w:t>
      </w:r>
    </w:p>
    <w:p>
      <w:pPr>
        <w:kinsoku/>
        <w:wordWrap/>
        <w:overflowPunct/>
        <w:topLinePunct w:val="0"/>
        <w:autoSpaceDE/>
        <w:autoSpaceDN/>
        <w:bidi w:val="0"/>
        <w:snapToGrid w:val="0"/>
        <w:spacing w:line="312" w:lineRule="auto"/>
        <w:ind w:firstLine="480" w:firstLineChars="200"/>
        <w:jc w:val="left"/>
        <w:textAlignment w:val="auto"/>
        <w:rPr>
          <w:rFonts w:hint="eastAsia" w:asciiTheme="minorEastAsia" w:hAnsiTheme="minorEastAsia" w:eastAsiaTheme="minorEastAsia" w:cstheme="minorEastAsia"/>
          <w:bCs/>
          <w:color w:val="auto"/>
          <w:sz w:val="36"/>
          <w:szCs w:val="30"/>
          <w:highlight w:val="none"/>
        </w:rPr>
      </w:pPr>
      <w:r>
        <w:rPr>
          <w:rFonts w:hint="eastAsia" w:ascii="宋体" w:hAnsi="宋体" w:eastAsia="宋体" w:cs="宋体"/>
          <w:b w:val="0"/>
          <w:sz w:val="24"/>
          <w:szCs w:val="24"/>
          <w:highlight w:val="none"/>
          <w:vertAlign w:val="baseline"/>
          <w:lang w:val="en-US" w:eastAsia="zh-CN"/>
        </w:rPr>
        <w:t>本项目比选人不组织现场踏勘，由供应商自行踏勘项目现场，供应商踏勘现场发生的所有费用自理，自行负责在踏勘现场中所发生的人员伤亡和财产损失。因供应商未踏勘现场而出现的报价成本估算错误，比选人不承担一切责任，由供应商自行承担。</w:t>
      </w:r>
      <w:bookmarkEnd w:id="87"/>
      <w:bookmarkEnd w:id="88"/>
      <w:bookmarkEnd w:id="89"/>
      <w:bookmarkEnd w:id="90"/>
      <w:bookmarkStart w:id="96" w:name="_Toc22755"/>
      <w:bookmarkStart w:id="97" w:name="_Toc32034"/>
      <w:r>
        <w:rPr>
          <w:rFonts w:hint="eastAsia" w:asciiTheme="minorEastAsia" w:hAnsiTheme="minorEastAsia" w:eastAsiaTheme="minorEastAsia" w:cstheme="minorEastAsia"/>
          <w:bCs/>
          <w:color w:val="auto"/>
          <w:sz w:val="36"/>
          <w:szCs w:val="30"/>
          <w:highlight w:val="none"/>
        </w:rPr>
        <w:br w:type="page"/>
      </w:r>
    </w:p>
    <w:p>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98" w:name="_Toc9443"/>
      <w:r>
        <w:rPr>
          <w:rFonts w:hint="eastAsia" w:asciiTheme="minorEastAsia" w:hAnsiTheme="minorEastAsia" w:eastAsiaTheme="minorEastAsia" w:cstheme="minorEastAsia"/>
          <w:bCs/>
          <w:color w:val="auto"/>
          <w:sz w:val="36"/>
          <w:szCs w:val="30"/>
          <w:highlight w:val="none"/>
        </w:rPr>
        <w:t>第三篇  项目商务需求</w:t>
      </w:r>
      <w:bookmarkEnd w:id="96"/>
      <w:bookmarkEnd w:id="97"/>
      <w:bookmarkEnd w:id="98"/>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9" w:name="_Toc76462328"/>
      <w:bookmarkEnd w:id="99"/>
      <w:bookmarkStart w:id="100" w:name="_Toc106030883"/>
      <w:bookmarkEnd w:id="100"/>
      <w:bookmarkStart w:id="101" w:name="_Toc344475120"/>
      <w:bookmarkEnd w:id="101"/>
      <w:bookmarkStart w:id="102" w:name="_Toc76462332"/>
      <w:bookmarkEnd w:id="102"/>
      <w:bookmarkStart w:id="103" w:name="_Toc106030887"/>
      <w:bookmarkEnd w:id="103"/>
      <w:bookmarkStart w:id="104" w:name="_Toc9477"/>
      <w:bookmarkEnd w:id="104"/>
      <w:bookmarkStart w:id="105" w:name="_Toc28019"/>
      <w:bookmarkEnd w:id="105"/>
      <w:bookmarkStart w:id="106" w:name="_Toc3517"/>
      <w:bookmarkStart w:id="107" w:name="_Toc21310"/>
      <w:bookmarkStart w:id="108" w:name="_Toc20332"/>
      <w:bookmarkStart w:id="109" w:name="_Toc12819"/>
      <w:bookmarkStart w:id="110" w:name="_Toc11660"/>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eastAsia="zh-CN"/>
        </w:rPr>
        <w:t>服务</w:t>
      </w:r>
      <w:r>
        <w:rPr>
          <w:rFonts w:hint="eastAsia" w:asciiTheme="minorEastAsia" w:hAnsiTheme="minorEastAsia" w:eastAsiaTheme="minorEastAsia" w:cstheme="minorEastAsia"/>
          <w:color w:val="auto"/>
          <w:sz w:val="24"/>
          <w:highlight w:val="none"/>
        </w:rPr>
        <w:t>期、地点及验收方式</w:t>
      </w:r>
      <w:bookmarkEnd w:id="106"/>
      <w:bookmarkEnd w:id="107"/>
      <w:bookmarkEnd w:id="108"/>
    </w:p>
    <w:p>
      <w:pPr>
        <w:snapToGrid w:val="0"/>
        <w:spacing w:line="400" w:lineRule="exact"/>
        <w:ind w:firstLine="5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vertAlign w:val="baseline"/>
          <w:lang w:val="en-US" w:eastAsia="zh-CN"/>
        </w:rPr>
        <w:t>（装修及市场培育期不计入合同经营周期）</w:t>
      </w:r>
      <w:r>
        <w:rPr>
          <w:rFonts w:hint="eastAsia" w:ascii="宋体" w:hAnsi="宋体" w:cs="宋体"/>
          <w:color w:val="auto"/>
          <w:sz w:val="24"/>
          <w:szCs w:val="24"/>
          <w:highlight w:val="none"/>
          <w:lang w:val="en-US" w:eastAsia="zh-CN"/>
        </w:rPr>
        <w:t>，施工期原则上不超过2个月</w:t>
      </w:r>
      <w:r>
        <w:rPr>
          <w:rFonts w:hint="eastAsia" w:ascii="宋体" w:hAnsi="宋体" w:cs="宋体"/>
          <w:color w:val="auto"/>
          <w:sz w:val="24"/>
          <w:szCs w:val="24"/>
          <w:highlight w:val="none"/>
        </w:rPr>
        <w:t>。</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eastAsia="宋体" w:cs="宋体"/>
          <w:sz w:val="24"/>
          <w:szCs w:val="24"/>
          <w:highlight w:val="none"/>
        </w:rPr>
        <w:t>重庆园博园主入口室外停车场</w:t>
      </w:r>
      <w:r>
        <w:rPr>
          <w:rFonts w:hint="eastAsia" w:ascii="宋体" w:hAnsi="宋体" w:eastAsia="宋体" w:cs="宋体"/>
          <w:color w:val="auto"/>
          <w:sz w:val="24"/>
          <w:szCs w:val="24"/>
          <w:highlight w:val="none"/>
        </w:rPr>
        <w:t>。</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1.比选人根据</w:t>
      </w:r>
      <w:r>
        <w:rPr>
          <w:rFonts w:hint="eastAsia" w:ascii="宋体" w:hAnsi="宋体" w:cs="宋体"/>
          <w:b w:val="0"/>
          <w:bCs w:val="0"/>
          <w:color w:val="auto"/>
          <w:sz w:val="24"/>
          <w:szCs w:val="24"/>
          <w:highlight w:val="none"/>
          <w:lang w:val="en-US" w:eastAsia="zh-CN"/>
        </w:rPr>
        <w:t>比选</w:t>
      </w:r>
      <w:r>
        <w:rPr>
          <w:rFonts w:hint="eastAsia" w:ascii="宋体" w:hAnsi="宋体" w:eastAsia="宋体" w:cs="宋体"/>
          <w:b w:val="0"/>
          <w:bCs w:val="0"/>
          <w:color w:val="auto"/>
          <w:sz w:val="24"/>
          <w:szCs w:val="24"/>
          <w:highlight w:val="none"/>
          <w:lang w:val="en-US" w:eastAsia="zh-CN"/>
        </w:rPr>
        <w:t>文件</w:t>
      </w:r>
      <w:r>
        <w:rPr>
          <w:rFonts w:hint="eastAsia" w:ascii="宋体" w:hAnsi="宋体" w:eastAsia="宋体" w:cs="宋体"/>
          <w:color w:val="auto"/>
          <w:sz w:val="24"/>
          <w:szCs w:val="24"/>
          <w:highlight w:val="none"/>
          <w:lang w:val="en-US" w:eastAsia="zh-CN"/>
        </w:rPr>
        <w:t>和国家、地方相关标准、规范</w:t>
      </w:r>
      <w:r>
        <w:rPr>
          <w:rFonts w:hint="eastAsia" w:ascii="宋体" w:hAnsi="宋体" w:eastAsia="宋体" w:cs="宋体"/>
          <w:color w:val="auto"/>
          <w:sz w:val="24"/>
          <w:szCs w:val="24"/>
          <w:highlight w:val="none"/>
        </w:rPr>
        <w:t>要求进行验收</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必要时邀请电力部门或第三方检测机构参与验收，验收产生的相关费用由成交供应商承担。</w:t>
      </w:r>
      <w:r>
        <w:rPr>
          <w:rFonts w:hint="eastAsia" w:ascii="宋体" w:hAnsi="宋体" w:eastAsia="宋体" w:cs="宋体"/>
          <w:color w:val="auto"/>
          <w:sz w:val="24"/>
          <w:szCs w:val="24"/>
          <w:highlight w:val="none"/>
        </w:rPr>
        <w:t>验收不合格的，必须按标准整改，所需费用由成交供应商自行承担</w:t>
      </w:r>
      <w:r>
        <w:rPr>
          <w:rFonts w:hint="eastAsia" w:ascii="宋体" w:hAnsi="宋体" w:eastAsia="宋体" w:cs="宋体"/>
          <w:color w:val="auto"/>
          <w:sz w:val="24"/>
          <w:szCs w:val="24"/>
          <w:highlight w:val="none"/>
          <w:lang w:val="en-US" w:eastAsia="zh-CN"/>
        </w:rPr>
        <w:t>。</w:t>
      </w:r>
    </w:p>
    <w:p>
      <w:pPr>
        <w:snapToGrid w:val="0"/>
        <w:spacing w:line="400" w:lineRule="exact"/>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充电桩</w:t>
      </w:r>
      <w:r>
        <w:rPr>
          <w:rFonts w:hint="eastAsia" w:ascii="宋体" w:hAnsi="宋体" w:eastAsia="宋体" w:cs="宋体"/>
          <w:color w:val="auto"/>
          <w:sz w:val="24"/>
          <w:szCs w:val="24"/>
          <w:highlight w:val="none"/>
        </w:rPr>
        <w:t>质量不合格或延误</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造成的一切损失由成交供应商自行承担。</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111" w:name="_Toc344475121"/>
      <w:bookmarkStart w:id="112" w:name="_Toc971"/>
      <w:bookmarkStart w:id="113" w:name="_Toc24094"/>
      <w:bookmarkStart w:id="114" w:name="_Toc32341"/>
      <w:bookmarkStart w:id="115" w:name="_Toc22939"/>
      <w:r>
        <w:rPr>
          <w:rFonts w:hint="eastAsia" w:asciiTheme="minorEastAsia" w:hAnsiTheme="minorEastAsia" w:eastAsiaTheme="minorEastAsia" w:cstheme="minorEastAsia"/>
          <w:color w:val="auto"/>
          <w:sz w:val="24"/>
          <w:highlight w:val="none"/>
          <w:lang w:val="en-US" w:eastAsia="zh-CN"/>
        </w:rPr>
        <w:t>二、</w:t>
      </w:r>
      <w:bookmarkEnd w:id="111"/>
      <w:r>
        <w:rPr>
          <w:rFonts w:hint="eastAsia" w:asciiTheme="minorEastAsia" w:hAnsiTheme="minorEastAsia" w:eastAsiaTheme="minorEastAsia" w:cstheme="minorEastAsia"/>
          <w:color w:val="auto"/>
          <w:sz w:val="24"/>
          <w:highlight w:val="none"/>
          <w:lang w:val="en-US" w:eastAsia="zh-CN"/>
        </w:rPr>
        <w:t>报价要求</w:t>
      </w:r>
      <w:bookmarkEnd w:id="112"/>
      <w:bookmarkEnd w:id="113"/>
      <w:bookmarkEnd w:id="114"/>
      <w:bookmarkEnd w:id="115"/>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报价</w:t>
      </w:r>
      <w:r>
        <w:rPr>
          <w:rFonts w:hint="eastAsia" w:ascii="宋体" w:hAnsi="宋体" w:eastAsia="宋体" w:cs="宋体"/>
          <w:kern w:val="0"/>
          <w:sz w:val="24"/>
          <w:szCs w:val="24"/>
          <w:highlight w:val="none"/>
        </w:rPr>
        <w:t>须为人民币报价</w:t>
      </w:r>
      <w:r>
        <w:rPr>
          <w:rFonts w:hint="eastAsia" w:ascii="宋体" w:hAnsi="宋体" w:eastAsia="宋体" w:cs="宋体"/>
          <w:sz w:val="24"/>
          <w:szCs w:val="24"/>
          <w:highlight w:val="none"/>
        </w:rPr>
        <w:t>，</w:t>
      </w:r>
      <w:r>
        <w:rPr>
          <w:rFonts w:hint="eastAsia" w:ascii="宋体" w:hAnsi="宋体" w:cs="宋体"/>
          <w:color w:val="auto"/>
          <w:sz w:val="24"/>
          <w:szCs w:val="24"/>
          <w:highlight w:val="none"/>
        </w:rPr>
        <w:t>供应商报价包括但不限于：完成本项目</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费、人工费、</w:t>
      </w:r>
      <w:r>
        <w:rPr>
          <w:rFonts w:hint="eastAsia" w:ascii="宋体" w:hAnsi="宋体" w:cs="宋体"/>
          <w:color w:val="auto"/>
          <w:sz w:val="24"/>
          <w:szCs w:val="24"/>
          <w:highlight w:val="none"/>
          <w:lang w:val="en-US" w:eastAsia="zh-CN"/>
        </w:rPr>
        <w:t>设施设备费、运营维护</w:t>
      </w:r>
      <w:r>
        <w:rPr>
          <w:rFonts w:hint="eastAsia" w:ascii="宋体" w:hAnsi="宋体" w:cs="宋体"/>
          <w:color w:val="auto"/>
          <w:sz w:val="24"/>
          <w:szCs w:val="24"/>
          <w:highlight w:val="none"/>
        </w:rPr>
        <w:t>以及税费等服务期间的所有费用。因成交供应商自身原因造成漏报、少报皆由其自行承担责任，</w:t>
      </w:r>
      <w:r>
        <w:rPr>
          <w:rFonts w:hint="eastAsia" w:ascii="宋体" w:hAnsi="宋体" w:cs="宋体"/>
          <w:color w:val="auto"/>
          <w:sz w:val="24"/>
          <w:szCs w:val="24"/>
          <w:highlight w:val="none"/>
          <w:lang w:eastAsia="zh-CN"/>
        </w:rPr>
        <w:t>比选人</w:t>
      </w:r>
      <w:r>
        <w:rPr>
          <w:rFonts w:hint="eastAsia" w:ascii="宋体" w:hAnsi="宋体" w:cs="宋体"/>
          <w:color w:val="auto"/>
          <w:sz w:val="24"/>
          <w:szCs w:val="24"/>
          <w:highlight w:val="none"/>
        </w:rPr>
        <w:t>不再补偿。</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6" w:name="_Toc17234"/>
      <w:bookmarkStart w:id="117" w:name="_Toc344475122"/>
      <w:bookmarkStart w:id="118" w:name="_Toc9058"/>
      <w:bookmarkStart w:id="119" w:name="_Toc26864"/>
      <w:bookmarkStart w:id="120" w:name="_Toc30022"/>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w:t>
      </w:r>
      <w:bookmarkEnd w:id="116"/>
      <w:bookmarkEnd w:id="117"/>
      <w:bookmarkEnd w:id="118"/>
      <w:bookmarkEnd w:id="119"/>
      <w:bookmarkEnd w:id="120"/>
      <w:r>
        <w:rPr>
          <w:rFonts w:hint="eastAsia" w:ascii="宋体" w:hAnsi="宋体" w:eastAsia="宋体" w:cs="宋体"/>
          <w:b/>
          <w:bCs/>
          <w:color w:val="auto"/>
          <w:sz w:val="24"/>
          <w:szCs w:val="24"/>
          <w:highlight w:val="none"/>
          <w:lang w:val="en-US" w:eastAsia="zh-CN"/>
        </w:rPr>
        <w:t>履约保证金和</w:t>
      </w:r>
      <w:r>
        <w:rPr>
          <w:rFonts w:hint="eastAsia" w:ascii="宋体" w:hAnsi="宋体" w:eastAsia="宋体" w:cs="宋体"/>
          <w:b/>
          <w:bCs/>
          <w:color w:val="auto"/>
          <w:sz w:val="24"/>
          <w:szCs w:val="24"/>
          <w:highlight w:val="none"/>
        </w:rPr>
        <w:t>付款方式</w:t>
      </w:r>
    </w:p>
    <w:p>
      <w:pPr>
        <w:snapToGrid w:val="0"/>
        <w:spacing w:line="400" w:lineRule="exact"/>
        <w:ind w:firstLine="480" w:firstLineChars="200"/>
        <w:rPr>
          <w:rFonts w:hint="eastAsia" w:ascii="宋体" w:hAnsi="宋体" w:eastAsia="宋体" w:cs="宋体"/>
          <w:kern w:val="0"/>
          <w:sz w:val="24"/>
          <w:szCs w:val="24"/>
          <w:highlight w:val="none"/>
        </w:rPr>
      </w:pPr>
      <w:bookmarkStart w:id="121" w:name="_Toc71903469"/>
      <w:bookmarkStart w:id="122" w:name="_Toc13073"/>
      <w:bookmarkStart w:id="123" w:name="_Toc525316574"/>
      <w:bookmarkStart w:id="124" w:name="_Toc89351104"/>
      <w:bookmarkStart w:id="125" w:name="_Toc69312327"/>
      <w:bookmarkStart w:id="126" w:name="_Toc27478"/>
      <w:bookmarkStart w:id="127" w:name="_Toc20486"/>
      <w:bookmarkStart w:id="128" w:name="_Toc344475123"/>
      <w:r>
        <w:rPr>
          <w:rFonts w:hint="eastAsia" w:ascii="宋体" w:hAnsi="宋体" w:eastAsia="宋体" w:cs="宋体"/>
          <w:kern w:val="0"/>
          <w:sz w:val="24"/>
          <w:szCs w:val="24"/>
          <w:highlight w:val="none"/>
        </w:rPr>
        <w:t>（一）合同签订前，</w:t>
      </w:r>
      <w:r>
        <w:rPr>
          <w:rFonts w:hint="eastAsia" w:ascii="宋体" w:hAnsi="宋体" w:eastAsia="宋体" w:cs="宋体"/>
          <w:kern w:val="0"/>
          <w:sz w:val="24"/>
          <w:szCs w:val="24"/>
          <w:highlight w:val="none"/>
          <w:lang w:val="en-US" w:eastAsia="zh-CN"/>
        </w:rPr>
        <w:t>成交供应商</w:t>
      </w:r>
      <w:r>
        <w:rPr>
          <w:rFonts w:hint="eastAsia" w:ascii="宋体" w:hAnsi="宋体" w:eastAsia="宋体" w:cs="宋体"/>
          <w:kern w:val="0"/>
          <w:sz w:val="24"/>
          <w:szCs w:val="24"/>
          <w:highlight w:val="none"/>
        </w:rPr>
        <w:t>向</w:t>
      </w:r>
      <w:r>
        <w:rPr>
          <w:rFonts w:hint="eastAsia" w:ascii="宋体" w:hAnsi="宋体" w:eastAsia="宋体" w:cs="宋体"/>
          <w:kern w:val="0"/>
          <w:sz w:val="24"/>
          <w:szCs w:val="24"/>
          <w:highlight w:val="none"/>
          <w:lang w:eastAsia="zh-CN"/>
        </w:rPr>
        <w:t>比选人</w:t>
      </w:r>
      <w:r>
        <w:rPr>
          <w:rFonts w:hint="eastAsia" w:ascii="宋体" w:hAnsi="宋体" w:eastAsia="宋体" w:cs="宋体"/>
          <w:kern w:val="0"/>
          <w:sz w:val="24"/>
          <w:szCs w:val="24"/>
          <w:highlight w:val="none"/>
        </w:rPr>
        <w:t>缴纳</w:t>
      </w:r>
      <w:r>
        <w:rPr>
          <w:rFonts w:hint="eastAsia" w:ascii="宋体" w:hAnsi="宋体" w:eastAsia="宋体" w:cs="宋体"/>
          <w:kern w:val="0"/>
          <w:sz w:val="24"/>
          <w:szCs w:val="24"/>
          <w:highlight w:val="none"/>
          <w:lang w:val="en-US" w:eastAsia="zh-CN"/>
        </w:rPr>
        <w:t>1万元</w:t>
      </w:r>
      <w:r>
        <w:rPr>
          <w:rFonts w:hint="eastAsia" w:ascii="宋体" w:hAnsi="宋体" w:eastAsia="宋体" w:cs="宋体"/>
          <w:kern w:val="0"/>
          <w:sz w:val="24"/>
          <w:szCs w:val="24"/>
          <w:highlight w:val="none"/>
        </w:rPr>
        <w:t>履约保证金（以支票、汇票、本票或者金融机构、担保机构出具的保函等非现金形式提交。）；</w:t>
      </w:r>
    </w:p>
    <w:p>
      <w:pPr>
        <w:snapToGri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（二）租金按年提前向比选人缴纳。</w:t>
      </w:r>
    </w:p>
    <w:p>
      <w:pPr>
        <w:pStyle w:val="4"/>
        <w:adjustRightInd w:val="0"/>
        <w:snapToGrid w:val="0"/>
        <w:spacing w:before="0" w:after="0" w:line="400" w:lineRule="exact"/>
        <w:ind w:left="476" w:leftChars="170" w:firstLine="0" w:firstLineChars="0"/>
        <w:rPr>
          <w:rFonts w:hint="eastAsia" w:asciiTheme="minorEastAsia" w:hAnsiTheme="minorEastAsia" w:eastAsiaTheme="minorEastAsia" w:cstheme="minorEastAsia"/>
          <w:color w:val="auto"/>
          <w:sz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三</w:t>
      </w:r>
      <w:r>
        <w:rPr>
          <w:rFonts w:hint="eastAsia" w:ascii="宋体" w:hAnsi="宋体" w:eastAsia="宋体" w:cs="宋体"/>
          <w:kern w:val="0"/>
          <w:sz w:val="24"/>
          <w:szCs w:val="24"/>
          <w:highlight w:val="none"/>
        </w:rPr>
        <w:t>）</w:t>
      </w:r>
      <w:r>
        <w:rPr>
          <w:rFonts w:hint="eastAsia" w:ascii="宋体" w:hAnsi="宋体" w:eastAsia="宋体" w:cs="宋体"/>
          <w:b w:val="0"/>
          <w:bCs/>
          <w:kern w:val="0"/>
          <w:sz w:val="24"/>
          <w:szCs w:val="24"/>
          <w:highlight w:val="none"/>
        </w:rPr>
        <w:t>履约保证金无息退还时间：</w:t>
      </w:r>
      <w:r>
        <w:rPr>
          <w:rFonts w:hint="eastAsia" w:ascii="宋体" w:hAnsi="宋体" w:eastAsia="宋体" w:cs="宋体"/>
          <w:b w:val="0"/>
          <w:bCs/>
          <w:kern w:val="0"/>
          <w:sz w:val="24"/>
          <w:szCs w:val="24"/>
          <w:highlight w:val="none"/>
          <w:lang w:val="en-US" w:eastAsia="zh-CN"/>
        </w:rPr>
        <w:t>合同到期后30天内，</w:t>
      </w:r>
      <w:r>
        <w:rPr>
          <w:rFonts w:hint="eastAsia" w:ascii="宋体" w:hAnsi="宋体" w:eastAsia="宋体" w:cs="宋体"/>
          <w:b w:val="0"/>
          <w:bCs/>
          <w:kern w:val="0"/>
          <w:sz w:val="24"/>
          <w:szCs w:val="24"/>
          <w:highlight w:val="none"/>
          <w:lang w:eastAsia="zh-CN"/>
        </w:rPr>
        <w:t>比选人</w:t>
      </w:r>
      <w:r>
        <w:rPr>
          <w:rFonts w:hint="eastAsia" w:ascii="宋体" w:hAnsi="宋体" w:eastAsia="宋体" w:cs="宋体"/>
          <w:b w:val="0"/>
          <w:bCs/>
          <w:kern w:val="0"/>
          <w:sz w:val="24"/>
          <w:szCs w:val="24"/>
          <w:highlight w:val="none"/>
        </w:rPr>
        <w:t>无息退还履约保证金。</w:t>
      </w:r>
      <w:bookmarkEnd w:id="121"/>
      <w:bookmarkEnd w:id="122"/>
      <w:bookmarkEnd w:id="123"/>
      <w:bookmarkEnd w:id="124"/>
      <w:bookmarkEnd w:id="125"/>
      <w:bookmarkStart w:id="129" w:name="_Toc21834"/>
      <w:bookmarkStart w:id="130" w:name="_Toc24945"/>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、知识产权</w:t>
      </w:r>
      <w:bookmarkEnd w:id="126"/>
      <w:bookmarkEnd w:id="127"/>
      <w:bookmarkEnd w:id="128"/>
      <w:bookmarkEnd w:id="129"/>
      <w:bookmarkEnd w:id="130"/>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1" w:name="_Toc344475124"/>
      <w:bookmarkStart w:id="132" w:name="_Toc12318"/>
      <w:bookmarkStart w:id="133" w:name="_Toc31870"/>
      <w:bookmarkStart w:id="134" w:name="_Toc28696"/>
      <w:bookmarkStart w:id="135" w:name="_Toc6820"/>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w:t>
      </w:r>
      <w:bookmarkEnd w:id="131"/>
      <w:bookmarkStart w:id="136" w:name="_Toc344475125"/>
      <w:r>
        <w:rPr>
          <w:rFonts w:hint="eastAsia" w:asciiTheme="minorEastAsia" w:hAnsiTheme="minorEastAsia" w:eastAsiaTheme="minorEastAsia" w:cstheme="minorEastAsia"/>
          <w:color w:val="auto"/>
          <w:sz w:val="24"/>
          <w:highlight w:val="none"/>
        </w:rPr>
        <w:t>其他</w:t>
      </w:r>
      <w:bookmarkEnd w:id="132"/>
      <w:bookmarkEnd w:id="133"/>
      <w:bookmarkEnd w:id="134"/>
      <w:bookmarkEnd w:id="135"/>
    </w:p>
    <w:bookmarkEnd w:id="136"/>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）供应商必须在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文件中对以上条款和服务承诺明确列出，承诺内容必须达到本篇及</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文件其他条款的要求。</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）其他未尽事宜由供需双方在采购合同中详细约定。</w:t>
      </w:r>
    </w:p>
    <w:p>
      <w:pPr>
        <w:pStyle w:val="4"/>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37" w:name="_Toc20812"/>
      <w:r>
        <w:rPr>
          <w:rFonts w:hint="eastAsia" w:asciiTheme="minorEastAsia" w:hAnsiTheme="minorEastAsia" w:eastAsiaTheme="minorEastAsia" w:cstheme="minorEastAsia"/>
          <w:bCs/>
          <w:color w:val="auto"/>
          <w:sz w:val="36"/>
          <w:szCs w:val="30"/>
          <w:highlight w:val="none"/>
        </w:rPr>
        <w:t>第四篇  比选程序及方法、评审标准、无效响应和</w:t>
      </w:r>
      <w:r>
        <w:rPr>
          <w:rFonts w:hint="eastAsia" w:asciiTheme="minorEastAsia" w:hAnsiTheme="minorEastAsia" w:eastAsiaTheme="minorEastAsia" w:cstheme="minorEastAsia"/>
          <w:bCs/>
          <w:color w:val="auto"/>
          <w:sz w:val="36"/>
          <w:szCs w:val="36"/>
          <w:highlight w:val="none"/>
        </w:rPr>
        <w:t>采购终止</w:t>
      </w:r>
      <w:bookmarkEnd w:id="109"/>
      <w:bookmarkEnd w:id="110"/>
      <w:bookmarkEnd w:id="137"/>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8" w:name="_Toc19981"/>
      <w:bookmarkEnd w:id="138"/>
      <w:bookmarkStart w:id="139" w:name="_Toc76462333"/>
      <w:bookmarkEnd w:id="139"/>
      <w:bookmarkStart w:id="140" w:name="_Toc106030888"/>
      <w:bookmarkEnd w:id="140"/>
      <w:bookmarkStart w:id="141" w:name="_Toc6512"/>
      <w:bookmarkStart w:id="142" w:name="_Toc28291"/>
      <w:bookmarkStart w:id="143" w:name="_Toc31047"/>
      <w:r>
        <w:rPr>
          <w:rFonts w:hint="eastAsia" w:asciiTheme="minorEastAsia" w:hAnsiTheme="minorEastAsia" w:eastAsiaTheme="minorEastAsia" w:cstheme="minorEastAsia"/>
          <w:color w:val="auto"/>
          <w:sz w:val="24"/>
          <w:highlight w:val="none"/>
        </w:rPr>
        <w:t>一、比选程序及方法</w:t>
      </w:r>
      <w:bookmarkEnd w:id="141"/>
      <w:bookmarkEnd w:id="142"/>
      <w:bookmarkEnd w:id="143"/>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（一）比选按竞争性比选文件规定的时间和地点进行，供应商须有法定代表人或其授权代表参加并签到。</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（二）评审小组对各供应商的资格条件、响应文件的有效性、完整性和响应程度进行审查。各供应商只有在完全符合要求的前提下，才能进行详细技术（服务）、商务、报价评审。</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1.供应商法人营业执照（副本）或事业单位法人证书（副本）或个体工商户营业执照或有效的自然人身份证明或社会团体法人登记证书（提供复印件）。</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vAlign w:val="center"/>
          </w:tcPr>
          <w:p>
            <w:pP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比选</w:t>
            </w:r>
            <w:r>
              <w:rPr>
                <w:rFonts w:hint="eastAsia" w:asciiTheme="minorEastAsia" w:hAnsiTheme="minorEastAsia" w:eastAsiaTheme="minorEastAsia" w:cstheme="minorEastAsia"/>
                <w:color w:val="auto"/>
                <w:sz w:val="21"/>
                <w:szCs w:val="21"/>
                <w:highlight w:val="none"/>
              </w:rPr>
              <w:t>保证金</w:t>
            </w:r>
          </w:p>
        </w:tc>
        <w:tc>
          <w:tcPr>
            <w:tcW w:w="4984" w:type="dxa"/>
            <w:vAlign w:val="center"/>
          </w:tcPr>
          <w:p>
            <w:pP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highlight w:val="none"/>
              </w:rPr>
              <w:t>按照</w:t>
            </w:r>
            <w:r>
              <w:rPr>
                <w:rFonts w:hint="eastAsia" w:ascii="宋体" w:hAnsi="宋体" w:cs="宋体"/>
                <w:sz w:val="21"/>
                <w:szCs w:val="21"/>
                <w:highlight w:val="none"/>
                <w:lang w:val="en-US" w:eastAsia="zh-CN"/>
              </w:rPr>
              <w:t>比选</w:t>
            </w:r>
            <w:r>
              <w:rPr>
                <w:rFonts w:hint="eastAsia" w:ascii="宋体" w:hAnsi="宋体" w:cs="宋体"/>
                <w:sz w:val="21"/>
                <w:szCs w:val="21"/>
                <w:highlight w:val="none"/>
              </w:rPr>
              <w:t>文件要求足额交纳所投</w:t>
            </w:r>
            <w:r>
              <w:rPr>
                <w:rFonts w:hint="eastAsia" w:ascii="宋体" w:hAnsi="宋体" w:cs="宋体"/>
                <w:sz w:val="21"/>
                <w:szCs w:val="21"/>
                <w:highlight w:val="none"/>
                <w:lang w:val="en-US" w:eastAsia="zh-CN"/>
              </w:rPr>
              <w:t>项目</w:t>
            </w:r>
            <w:r>
              <w:rPr>
                <w:rFonts w:hint="eastAsia" w:ascii="宋体" w:hAnsi="宋体" w:cs="宋体"/>
                <w:sz w:val="21"/>
                <w:szCs w:val="21"/>
                <w:highlight w:val="none"/>
              </w:rPr>
              <w:t>的</w:t>
            </w:r>
            <w:r>
              <w:rPr>
                <w:rFonts w:hint="eastAsia" w:ascii="宋体" w:hAnsi="宋体" w:cs="宋体"/>
                <w:sz w:val="21"/>
                <w:szCs w:val="21"/>
                <w:highlight w:val="none"/>
                <w:lang w:val="en-US" w:eastAsia="zh-CN"/>
              </w:rPr>
              <w:t>比选</w:t>
            </w:r>
            <w:r>
              <w:rPr>
                <w:rFonts w:hint="eastAsia" w:ascii="宋体" w:hAnsi="宋体" w:cs="宋体"/>
                <w:sz w:val="21"/>
                <w:szCs w:val="21"/>
                <w:highlight w:val="none"/>
              </w:rPr>
              <w:t>保证金。</w:t>
            </w:r>
          </w:p>
        </w:tc>
      </w:tr>
    </w:tbl>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eq \o\ac(○,</w:instrText>
      </w:r>
      <w:r>
        <w:rPr>
          <w:rFonts w:hint="eastAsia" w:asciiTheme="minorEastAsia" w:hAnsiTheme="minorEastAsia" w:eastAsiaTheme="minorEastAsia" w:cstheme="minorEastAsia"/>
          <w:color w:val="auto"/>
          <w:kern w:val="0"/>
          <w:position w:val="3"/>
          <w:sz w:val="16"/>
          <w:szCs w:val="24"/>
          <w:highlight w:val="none"/>
        </w:rPr>
        <w:instrText xml:space="preserve">1</w:instrText>
      </w:r>
      <w:r>
        <w:rPr>
          <w:rFonts w:hint="eastAsia" w:asciiTheme="minorEastAsia" w:hAnsiTheme="minorEastAsia" w:eastAsiaTheme="minorEastAsia" w:cstheme="minorEastAsia"/>
          <w:color w:val="auto"/>
          <w:ker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的行政处罚。行政处罚中“较大数额”的认定标准，参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符合性审查。依据竞争性比选文件的规定，从响应文件的有效性、完整性和对竞争性比选文件的响应程度进行审查，以确定是否对竞争性比选文件的实质性要求作出响应。符合性审查资料表如下：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按竞争性比选文件“</w:t>
            </w:r>
            <w:r>
              <w:rPr>
                <w:rFonts w:hint="eastAsia" w:asciiTheme="minorEastAsia" w:hAnsiTheme="minorEastAsia" w:eastAsiaTheme="minorEastAsia" w:cstheme="minorEastAsia"/>
                <w:color w:val="auto"/>
                <w:sz w:val="21"/>
                <w:szCs w:val="21"/>
                <w:highlight w:val="none"/>
                <w:lang w:eastAsia="zh-CN"/>
              </w:rPr>
              <w:t>第七篇响应文件编制要求</w:t>
            </w:r>
            <w:r>
              <w:rPr>
                <w:rFonts w:hint="eastAsia" w:asciiTheme="minorEastAsia" w:hAnsiTheme="minorEastAsia" w:eastAsiaTheme="minorEastAsia" w:cstheme="minorEastAsia"/>
                <w:color w:val="auto"/>
                <w:sz w:val="21"/>
                <w:szCs w:val="21"/>
                <w:highlight w:val="none"/>
              </w:rPr>
              <w:t>”要求签署或盖章。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份数</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正、副本数量</w:t>
            </w:r>
            <w:r>
              <w:rPr>
                <w:rFonts w:hint="eastAsia" w:ascii="宋体" w:hAnsi="宋体" w:cs="宋体"/>
                <w:color w:val="auto"/>
                <w:sz w:val="21"/>
                <w:szCs w:val="21"/>
                <w:highlight w:val="none"/>
                <w:lang w:val="zh-CN"/>
              </w:rPr>
              <w:t>（含电子文档）</w:t>
            </w:r>
            <w:r>
              <w:rPr>
                <w:rFonts w:hint="eastAsia" w:asciiTheme="minorEastAsia" w:hAnsiTheme="minorEastAsia" w:eastAsiaTheme="minorEastAsia" w:cstheme="minorEastAsia"/>
                <w:color w:val="auto"/>
                <w:sz w:val="21"/>
                <w:szCs w:val="21"/>
                <w:highlight w:val="none"/>
                <w:lang w:val="zh-CN"/>
              </w:rPr>
              <w:t>符合</w:t>
            </w:r>
            <w:r>
              <w:rPr>
                <w:rFonts w:hint="eastAsia" w:asciiTheme="minorEastAsia" w:hAnsiTheme="minorEastAsia" w:eastAsiaTheme="minorEastAsia" w:cstheme="minorEastAsia"/>
                <w:color w:val="auto"/>
                <w:sz w:val="21"/>
                <w:szCs w:val="21"/>
                <w:highlight w:val="none"/>
              </w:rPr>
              <w:t>竞争性比选</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pPr>
              <w:pStyle w:val="3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对竞争性比选文件第二篇、第三篇的</w:t>
            </w:r>
            <w:r>
              <w:rPr>
                <w:rFonts w:hint="eastAsia" w:ascii="宋体" w:hAnsi="宋体" w:cs="宋体"/>
                <w:color w:val="auto"/>
                <w:sz w:val="21"/>
                <w:szCs w:val="21"/>
                <w:highlight w:val="none"/>
              </w:rPr>
              <w:t>全部内容作出响应</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比选有效期</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在采购过程中符合要求的供应商不足3家的，</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活动中止并重新开展采购活动。</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（三）澄清有关问题。评审小组在对响应文件的有效性、完整性和响应程度进行审查时，可以要求</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（四）评审小组要求</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澄清、说明或者更正响应文件应当以书面形式作出。</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的澄清、说明或者更正应当由法定代表人或其授权代表签字或者加盖公章。由授权代表签字的，应当附法定代表人授权书。</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为自然人的，应当由本人签字并附身份证明。</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（五）在比选过程中比选的任何一方不得向他人透露与比选有关的服务资料、价格或其他信息。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在比选时作出的所有书面承诺须由法定代表人或其授权代表签字。</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（七）评审小组采用综合评分法对合格的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的响应文件和报价（含有效书面承诺）进行综合评分。综合评分法，是指响应文件满足竞争性比选文件全部实质性要求且按照评审因素的量化指标评审得分最高的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为成交候选人的评审方法。</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总得分为价格、服务、商务等评定因素分别按照相应权重值计算分项得分后相加，满分为100分。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（八）评审小组各成员独立对每个有效响应（通过资格性检查、符合性检查的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）的响应文件进行评审、打分，然后汇总每个</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每项评分因素的得分，并根据综合评分情况按照评审得分由高到低顺序推荐3名成交候选人，并编写评审报告。若</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的评审得分相同的，按照报价由</w:t>
      </w:r>
      <w:r>
        <w:rPr>
          <w:rFonts w:hint="eastAsia" w:asciiTheme="minorEastAsia" w:hAnsiTheme="minorEastAsia" w:eastAsiaTheme="minorEastAsia" w:cstheme="minorEastAsia"/>
          <w:color w:val="auto"/>
          <w:sz w:val="24"/>
          <w:szCs w:val="24"/>
          <w:highlight w:val="none"/>
          <w:lang w:val="en-US" w:eastAsia="zh-CN"/>
        </w:rPr>
        <w:t>高</w:t>
      </w:r>
      <w:r>
        <w:rPr>
          <w:rFonts w:hint="eastAsia" w:asciiTheme="minorEastAsia" w:hAnsiTheme="minorEastAsia" w:eastAsiaTheme="minorEastAsia" w:cstheme="minorEastAsia"/>
          <w:color w:val="auto"/>
          <w:sz w:val="24"/>
          <w:szCs w:val="24"/>
          <w:highlight w:val="none"/>
        </w:rPr>
        <w:t>到</w:t>
      </w:r>
      <w:r>
        <w:rPr>
          <w:rFonts w:hint="eastAsia" w:asciiTheme="minorEastAsia" w:hAnsiTheme="minorEastAsia" w:eastAsiaTheme="minorEastAsia" w:cstheme="minorEastAsia"/>
          <w:color w:val="auto"/>
          <w:sz w:val="24"/>
          <w:szCs w:val="24"/>
          <w:highlight w:val="none"/>
          <w:lang w:val="en-US" w:eastAsia="zh-CN"/>
        </w:rPr>
        <w:t>低</w:t>
      </w:r>
      <w:r>
        <w:rPr>
          <w:rFonts w:hint="eastAsia" w:asciiTheme="minorEastAsia" w:hAnsiTheme="minorEastAsia" w:eastAsiaTheme="minorEastAsia" w:cstheme="minorEastAsia"/>
          <w:color w:val="auto"/>
          <w:sz w:val="24"/>
          <w:szCs w:val="24"/>
          <w:highlight w:val="none"/>
        </w:rPr>
        <w:t>的顺序排列推荐。评审得分且报价相同的，按照服务部分得分由高到低顺序排列推荐。以上都相同的，按商务部分得分由高到低顺序排列推荐。若</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的服务部分为0分，将失去成为成交候选人的资格。</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highlight w:val="none"/>
        </w:rPr>
        <w:t>二、评审标准</w:t>
      </w:r>
    </w:p>
    <w:tbl>
      <w:tblPr>
        <w:tblStyle w:val="60"/>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48"/>
        <w:gridCol w:w="912"/>
        <w:gridCol w:w="5245"/>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Align w:val="center"/>
          </w:tcPr>
          <w:p>
            <w:pPr>
              <w:snapToGrid w:val="0"/>
              <w:spacing w:line="360" w:lineRule="auto"/>
              <w:jc w:val="center"/>
              <w:rPr>
                <w:rFonts w:hint="eastAsia" w:ascii="宋体" w:hAnsi="宋体" w:cs="宋体"/>
                <w:b/>
                <w:bCs/>
                <w:color w:val="auto"/>
                <w:sz w:val="21"/>
                <w:szCs w:val="21"/>
                <w:highlight w:val="none"/>
              </w:rPr>
            </w:pPr>
            <w:bookmarkStart w:id="144" w:name="_Toc28217"/>
            <w:bookmarkStart w:id="145" w:name="_Toc12733"/>
            <w:bookmarkStart w:id="146" w:name="_Toc27370"/>
            <w:bookmarkStart w:id="147" w:name="_Toc15678"/>
            <w:r>
              <w:rPr>
                <w:rFonts w:hint="eastAsia" w:ascii="宋体" w:hAnsi="宋体" w:cs="宋体"/>
                <w:b/>
                <w:bCs/>
                <w:color w:val="auto"/>
                <w:sz w:val="21"/>
                <w:szCs w:val="21"/>
                <w:highlight w:val="none"/>
              </w:rPr>
              <w:t>序号</w:t>
            </w:r>
          </w:p>
        </w:tc>
        <w:tc>
          <w:tcPr>
            <w:tcW w:w="1248" w:type="dxa"/>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评分因素及权重</w:t>
            </w:r>
          </w:p>
        </w:tc>
        <w:tc>
          <w:tcPr>
            <w:tcW w:w="912" w:type="dxa"/>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5245" w:type="dxa"/>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c>
          <w:tcPr>
            <w:tcW w:w="1871" w:type="dxa"/>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83" w:type="dxa"/>
            <w:vAlign w:val="center"/>
          </w:tcPr>
          <w:p>
            <w:pPr>
              <w:spacing w:line="360" w:lineRule="auto"/>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48" w:type="dxa"/>
            <w:vAlign w:val="center"/>
          </w:tcPr>
          <w:p>
            <w:pPr>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报价（</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w:t>
            </w:r>
          </w:p>
          <w:p>
            <w:pPr>
              <w:spacing w:line="240" w:lineRule="atLeast"/>
              <w:rPr>
                <w:rFonts w:hint="eastAsia" w:ascii="宋体" w:hAnsi="宋体" w:eastAsia="宋体" w:cs="宋体"/>
                <w:color w:val="auto"/>
                <w:sz w:val="21"/>
                <w:szCs w:val="21"/>
                <w:highlight w:val="none"/>
              </w:rPr>
            </w:pPr>
          </w:p>
        </w:tc>
        <w:tc>
          <w:tcPr>
            <w:tcW w:w="912" w:type="dxa"/>
            <w:vAlign w:val="center"/>
          </w:tcPr>
          <w:p>
            <w:pPr>
              <w:numPr>
                <w:ilvl w:val="0"/>
                <w:numId w:val="0"/>
              </w:numPr>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租金（50</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5245" w:type="dxa"/>
            <w:vAlign w:val="center"/>
          </w:tcPr>
          <w:p>
            <w:pPr>
              <w:numPr>
                <w:ilvl w:val="0"/>
                <w:numId w:val="0"/>
              </w:numPr>
              <w:rPr>
                <w:rFonts w:hint="eastAsia" w:ascii="宋体"/>
                <w:color w:val="auto"/>
                <w:sz w:val="21"/>
                <w:szCs w:val="21"/>
                <w:highlight w:val="none"/>
              </w:rPr>
            </w:pPr>
            <w:r>
              <w:rPr>
                <w:rFonts w:hint="eastAsia" w:ascii="宋体"/>
                <w:color w:val="auto"/>
                <w:sz w:val="21"/>
                <w:szCs w:val="21"/>
                <w:highlight w:val="none"/>
              </w:rPr>
              <w:t>有效的</w:t>
            </w:r>
            <w:r>
              <w:rPr>
                <w:rFonts w:hint="eastAsia" w:ascii="宋体"/>
                <w:color w:val="auto"/>
                <w:sz w:val="21"/>
                <w:szCs w:val="21"/>
                <w:highlight w:val="none"/>
                <w:lang w:val="en-US" w:eastAsia="zh-CN"/>
              </w:rPr>
              <w:t>比选</w:t>
            </w:r>
            <w:r>
              <w:rPr>
                <w:rFonts w:hint="eastAsia" w:ascii="宋体"/>
                <w:color w:val="auto"/>
                <w:sz w:val="21"/>
                <w:szCs w:val="21"/>
                <w:highlight w:val="none"/>
              </w:rPr>
              <w:t>报价中的最</w:t>
            </w:r>
            <w:r>
              <w:rPr>
                <w:rFonts w:hint="eastAsia" w:ascii="宋体"/>
                <w:color w:val="auto"/>
                <w:sz w:val="21"/>
                <w:szCs w:val="21"/>
                <w:highlight w:val="none"/>
                <w:lang w:val="en-US" w:eastAsia="zh-CN"/>
              </w:rPr>
              <w:t>高</w:t>
            </w:r>
            <w:r>
              <w:rPr>
                <w:rFonts w:hint="eastAsia" w:ascii="宋体"/>
                <w:color w:val="auto"/>
                <w:sz w:val="21"/>
                <w:szCs w:val="21"/>
                <w:highlight w:val="none"/>
              </w:rPr>
              <w:t>价为评标基准价，其价格分为满分。其他</w:t>
            </w:r>
            <w:r>
              <w:rPr>
                <w:rFonts w:hint="eastAsia" w:ascii="宋体"/>
                <w:color w:val="auto"/>
                <w:sz w:val="21"/>
                <w:szCs w:val="21"/>
                <w:highlight w:val="none"/>
                <w:lang w:val="en-US" w:eastAsia="zh-CN"/>
              </w:rPr>
              <w:t>供应商</w:t>
            </w:r>
            <w:r>
              <w:rPr>
                <w:rFonts w:hint="eastAsia" w:ascii="宋体"/>
                <w:color w:val="auto"/>
                <w:sz w:val="21"/>
                <w:szCs w:val="21"/>
                <w:highlight w:val="none"/>
              </w:rPr>
              <w:t>的价格分统一按照下列公式计算：</w:t>
            </w:r>
          </w:p>
          <w:p>
            <w:pPr>
              <w:spacing w:line="240" w:lineRule="atLeast"/>
              <w:rPr>
                <w:rFonts w:hint="eastAsia" w:ascii="宋体" w:hAnsi="宋体" w:eastAsia="宋体" w:cs="宋体"/>
                <w:color w:val="auto"/>
                <w:sz w:val="21"/>
                <w:szCs w:val="21"/>
                <w:highlight w:val="none"/>
              </w:rPr>
            </w:pPr>
            <w:r>
              <w:rPr>
                <w:rFonts w:hint="eastAsia" w:ascii="宋体"/>
                <w:color w:val="auto"/>
                <w:sz w:val="21"/>
                <w:szCs w:val="21"/>
                <w:highlight w:val="none"/>
                <w:lang w:val="en-US" w:eastAsia="zh-CN"/>
              </w:rPr>
              <w:t>比选</w:t>
            </w:r>
            <w:r>
              <w:rPr>
                <w:rFonts w:hint="eastAsia" w:ascii="宋体"/>
                <w:color w:val="auto"/>
                <w:sz w:val="21"/>
                <w:szCs w:val="21"/>
                <w:highlight w:val="none"/>
              </w:rPr>
              <w:t>报价得分＝（</w:t>
            </w:r>
            <w:r>
              <w:rPr>
                <w:rFonts w:hint="eastAsia" w:ascii="宋体"/>
                <w:color w:val="auto"/>
                <w:sz w:val="21"/>
                <w:szCs w:val="21"/>
                <w:highlight w:val="none"/>
                <w:lang w:val="en-US" w:eastAsia="zh-CN"/>
              </w:rPr>
              <w:t>比选</w:t>
            </w:r>
            <w:r>
              <w:rPr>
                <w:rFonts w:hint="eastAsia" w:ascii="宋体"/>
                <w:color w:val="auto"/>
                <w:sz w:val="21"/>
                <w:szCs w:val="21"/>
                <w:highlight w:val="none"/>
              </w:rPr>
              <w:t>报价/评标基准价）×价格权重×100。</w:t>
            </w:r>
          </w:p>
        </w:tc>
        <w:tc>
          <w:tcPr>
            <w:tcW w:w="1871" w:type="dxa"/>
            <w:vAlign w:val="center"/>
          </w:tcPr>
          <w:p>
            <w:pPr>
              <w:spacing w:line="360" w:lineRule="auto"/>
              <w:rPr>
                <w:rFonts w:hint="default" w:ascii="宋体" w:hAnsi="宋体" w:cs="宋体"/>
                <w:color w:val="auto"/>
                <w:sz w:val="21"/>
                <w:szCs w:val="21"/>
                <w:highlight w:val="none"/>
                <w:lang w:val="en-US"/>
              </w:rPr>
            </w:pPr>
            <w:r>
              <w:rPr>
                <w:rFonts w:hint="eastAsia" w:ascii="宋体" w:cs="Times New Roman"/>
                <w:color w:val="auto"/>
                <w:sz w:val="21"/>
                <w:szCs w:val="21"/>
                <w:highlight w:val="none"/>
                <w:u w:val="none"/>
                <w:lang w:val="en-US" w:eastAsia="zh-CN"/>
              </w:rPr>
              <w:t>租金不低于</w:t>
            </w:r>
            <w:r>
              <w:rPr>
                <w:rFonts w:hint="eastAsia" w:ascii="宋体" w:hAnsi="宋体" w:eastAsia="宋体" w:cs="宋体"/>
                <w:sz w:val="21"/>
                <w:szCs w:val="21"/>
                <w:highlight w:val="none"/>
                <w:lang w:val="en-US" w:eastAsia="zh-CN"/>
              </w:rPr>
              <w:t>4.5万元/年</w:t>
            </w:r>
            <w:r>
              <w:rPr>
                <w:rFonts w:hint="eastAsia" w:ascii="宋体" w:hAnsi="宋体" w:eastAsia="宋体" w:cs="宋体"/>
                <w:color w:val="auto"/>
                <w:sz w:val="21"/>
                <w:szCs w:val="21"/>
                <w:highlight w:val="none"/>
                <w:lang w:val="en-US" w:eastAsia="zh-CN"/>
              </w:rPr>
              <w:t>，否则视为无效响应。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Merge w:val="restart"/>
            <w:vAlign w:val="center"/>
          </w:tcPr>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48" w:type="dxa"/>
            <w:vMerge w:val="restart"/>
            <w:vAlign w:val="center"/>
          </w:tcPr>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服务部分（</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w:t>
            </w:r>
          </w:p>
        </w:tc>
        <w:tc>
          <w:tcPr>
            <w:tcW w:w="9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建设方案（15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5245" w:type="dxa"/>
            <w:vAlign w:val="center"/>
          </w:tcPr>
          <w:p>
            <w:pPr>
              <w:spacing w:line="240" w:lineRule="atLeast"/>
              <w:rPr>
                <w:rFonts w:hint="default"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建设方案</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布局设计；</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施工中的技术和专业程度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建设周期的安排计划；④设施设备质量保证措施；⑤充电桩数量规划；⑥电力配套规划（如变压器容量、电缆铺设、配电箱位置）。</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15</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pacing w:line="240" w:lineRule="atLeas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restart"/>
            <w:vAlign w:val="center"/>
          </w:tcPr>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提供方案，格式自拟。</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注：本项内容中所称的“瑕疵”指以下内容：</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①内容未包含全部项目需求，存在漏项，完整性不足；</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②存在项目名称错误、地点区域错误；</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③方案内容过于简略，仅有框架或标题；</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④方案内容与本项目包含内容无关；</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⑤内容逻辑漏洞或原理错误；</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⑥方案中内容前后不一致、前后逻辑错误、涉及的规范及标准错误。</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上述任意一种情形为1处瑕疵。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1248"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912" w:type="dxa"/>
            <w:vAlign w:val="center"/>
          </w:tcPr>
          <w:p>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运营及维护方案（15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5245" w:type="dxa"/>
            <w:vAlign w:val="center"/>
          </w:tcPr>
          <w:p>
            <w:pPr>
              <w:spacing w:line="276" w:lineRule="auto"/>
              <w:rPr>
                <w:rFonts w:hint="default" w:ascii="宋体" w:hAnsi="宋体" w:cs="宋体"/>
                <w:color w:val="auto"/>
                <w:kern w:val="0"/>
                <w:sz w:val="21"/>
                <w:szCs w:val="21"/>
                <w:highlight w:val="none"/>
                <w:lang w:val="en-US"/>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运营及维护方案</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拟投入资金；</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管理架构；</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团队配置及名单；④管理制度；⑤定价策略；⑥服务水平控制目标及措施；⑦智能化管理（如支持APP/小程序预约、扫码支付、远程监控、故障报警）；⑧设施设备维护措施。</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15</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continue"/>
            <w:vAlign w:val="center"/>
          </w:tcPr>
          <w:p>
            <w:pPr>
              <w:spacing w:line="360" w:lineRule="auto"/>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83"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1248"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912" w:type="dxa"/>
            <w:vAlign w:val="center"/>
          </w:tcPr>
          <w:p>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安全及应急预案（10分）</w:t>
            </w:r>
          </w:p>
          <w:p>
            <w:pPr>
              <w:spacing w:line="360" w:lineRule="auto"/>
              <w:jc w:val="center"/>
              <w:rPr>
                <w:rFonts w:hint="eastAsia" w:ascii="宋体" w:hAnsi="宋体" w:cs="宋体"/>
                <w:color w:val="auto"/>
                <w:sz w:val="21"/>
                <w:szCs w:val="21"/>
                <w:highlight w:val="none"/>
              </w:rPr>
            </w:pPr>
          </w:p>
        </w:tc>
        <w:tc>
          <w:tcPr>
            <w:tcW w:w="5245" w:type="dxa"/>
            <w:vAlign w:val="center"/>
          </w:tcPr>
          <w:p>
            <w:pPr>
              <w:snapToGrid w:val="0"/>
              <w:spacing w:line="240" w:lineRule="auto"/>
              <w:rPr>
                <w:rFonts w:hint="default" w:ascii="宋体" w:hAnsi="宋体" w:cs="宋体"/>
                <w:color w:val="auto"/>
                <w:kern w:val="0"/>
                <w:sz w:val="21"/>
                <w:szCs w:val="21"/>
                <w:highlight w:val="none"/>
                <w:lang w:val="en-US"/>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安全方案</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设施设备及材料安全；</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安全管理制度及安全措施方案；</w:t>
            </w:r>
            <w:r>
              <w:rPr>
                <w:rFonts w:hint="eastAsia" w:ascii="宋体" w:hAnsi="宋体" w:cs="宋体"/>
                <w:color w:val="auto"/>
                <w:sz w:val="21"/>
                <w:szCs w:val="21"/>
                <w:highlight w:val="none"/>
              </w:rPr>
              <w:t>①停电突发情况</w:t>
            </w:r>
            <w:r>
              <w:rPr>
                <w:rFonts w:hint="eastAsia" w:ascii="宋体" w:hAnsi="宋体" w:cs="宋体"/>
                <w:color w:val="auto"/>
                <w:sz w:val="21"/>
                <w:szCs w:val="21"/>
                <w:highlight w:val="none"/>
                <w:lang w:val="en-US" w:eastAsia="zh-CN"/>
              </w:rPr>
              <w:t>应急措施；</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设施设备故障应急措施。</w:t>
            </w:r>
          </w:p>
          <w:p>
            <w:pPr>
              <w:snapToGrid w:val="0"/>
              <w:spacing w:line="24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napToGrid w:val="0"/>
              <w:spacing w:line="24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napToGrid w:val="0"/>
              <w:spacing w:line="24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w:t>
            </w:r>
          </w:p>
          <w:p>
            <w:pPr>
              <w:snapToGrid w:val="0"/>
              <w:spacing w:line="24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pPr>
              <w:snapToGrid w:val="0"/>
              <w:spacing w:line="240"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napToGrid w:val="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continue"/>
            <w:vAlign w:val="center"/>
          </w:tcPr>
          <w:p>
            <w:pPr>
              <w:spacing w:line="360" w:lineRule="auto"/>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Align w:val="center"/>
          </w:tcPr>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248" w:type="dxa"/>
            <w:vAlign w:val="center"/>
          </w:tcPr>
          <w:p>
            <w:pPr>
              <w:spacing w:line="240" w:lineRule="atLeas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商务部分</w:t>
            </w:r>
          </w:p>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0%）</w:t>
            </w:r>
          </w:p>
        </w:tc>
        <w:tc>
          <w:tcPr>
            <w:tcW w:w="912" w:type="dxa"/>
            <w:vAlign w:val="center"/>
          </w:tcPr>
          <w:p>
            <w:pPr>
              <w:spacing w:line="240" w:lineRule="atLeast"/>
              <w:jc w:val="cente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业绩</w:t>
            </w:r>
          </w:p>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zh-CN"/>
              </w:rPr>
              <w:t>）</w:t>
            </w:r>
          </w:p>
        </w:tc>
        <w:tc>
          <w:tcPr>
            <w:tcW w:w="5245" w:type="dxa"/>
            <w:vAlign w:val="center"/>
          </w:tcPr>
          <w:p>
            <w:pPr>
              <w:spacing w:line="276" w:lineRule="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供应商在2019年1月1日至响应截止时间（以合同签订时间为准），承担过充电桩运营的，每提供1个得5分。最多10分。</w:t>
            </w:r>
          </w:p>
        </w:tc>
        <w:tc>
          <w:tcPr>
            <w:tcW w:w="1871" w:type="dxa"/>
            <w:vAlign w:val="center"/>
          </w:tcPr>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业绩须提供合同复印件加盖供应商公章。</w:t>
            </w:r>
          </w:p>
        </w:tc>
      </w:tr>
      <w:bookmarkEnd w:id="144"/>
      <w:bookmarkEnd w:id="145"/>
      <w:bookmarkEnd w:id="146"/>
      <w:bookmarkEnd w:id="147"/>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8" w:name="_Toc106030890"/>
      <w:bookmarkEnd w:id="148"/>
      <w:bookmarkStart w:id="149" w:name="_Toc106030889"/>
      <w:bookmarkEnd w:id="149"/>
      <w:bookmarkStart w:id="150" w:name="_Toc24604"/>
      <w:bookmarkEnd w:id="150"/>
      <w:bookmarkStart w:id="151" w:name="_Toc8811"/>
      <w:bookmarkEnd w:id="151"/>
      <w:bookmarkStart w:id="152" w:name="_Toc76462334"/>
      <w:bookmarkEnd w:id="152"/>
      <w:bookmarkStart w:id="153" w:name="_Toc76462335"/>
      <w:bookmarkEnd w:id="153"/>
      <w:bookmarkStart w:id="154" w:name="_Toc20661"/>
      <w:bookmarkStart w:id="155" w:name="_Toc12242"/>
      <w:bookmarkStart w:id="156" w:name="_Toc8592"/>
      <w:bookmarkStart w:id="157" w:name="_Toc102227320"/>
      <w:bookmarkStart w:id="158" w:name="_Toc342913394"/>
      <w:r>
        <w:rPr>
          <w:rFonts w:hint="eastAsia" w:asciiTheme="minorEastAsia" w:hAnsiTheme="minorEastAsia" w:eastAsiaTheme="minorEastAsia" w:cstheme="minorEastAsia"/>
          <w:color w:val="auto"/>
          <w:sz w:val="24"/>
          <w:highlight w:val="none"/>
        </w:rPr>
        <w:t>三、无效响应</w:t>
      </w:r>
      <w:bookmarkEnd w:id="154"/>
      <w:bookmarkEnd w:id="155"/>
      <w:bookmarkEnd w:id="156"/>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（二）供应商的法定代表人（或其授权代表）或自然人未到现场参加比选；</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”要求签署或盖章；</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（四）供应商的比选报价</w:t>
      </w:r>
      <w:r>
        <w:rPr>
          <w:rFonts w:hint="eastAsia" w:asciiTheme="minorEastAsia" w:hAnsiTheme="minorEastAsia" w:eastAsiaTheme="minorEastAsia" w:cstheme="minorEastAsia"/>
          <w:color w:val="auto"/>
          <w:sz w:val="24"/>
          <w:szCs w:val="24"/>
          <w:highlight w:val="none"/>
          <w:lang w:val="en-US" w:eastAsia="zh-CN"/>
        </w:rPr>
        <w:t>低于</w:t>
      </w:r>
      <w:r>
        <w:rPr>
          <w:rFonts w:hint="eastAsia" w:asciiTheme="minorEastAsia" w:hAnsiTheme="minorEastAsia" w:eastAsiaTheme="minorEastAsia" w:cstheme="minorEastAsia"/>
          <w:color w:val="auto"/>
          <w:sz w:val="24"/>
          <w:szCs w:val="24"/>
          <w:highlight w:val="none"/>
        </w:rPr>
        <w:t>采购预算或最</w:t>
      </w:r>
      <w:r>
        <w:rPr>
          <w:rFonts w:hint="eastAsia" w:asciiTheme="minorEastAsia" w:hAnsiTheme="minorEastAsia" w:eastAsiaTheme="minorEastAsia" w:cstheme="minorEastAsia"/>
          <w:color w:val="auto"/>
          <w:sz w:val="24"/>
          <w:szCs w:val="24"/>
          <w:highlight w:val="none"/>
          <w:lang w:val="en-US" w:eastAsia="zh-CN"/>
        </w:rPr>
        <w:t>低</w:t>
      </w:r>
      <w:r>
        <w:rPr>
          <w:rFonts w:hint="eastAsia" w:asciiTheme="minorEastAsia" w:hAnsiTheme="minorEastAsia" w:eastAsiaTheme="minorEastAsia" w:cstheme="minorEastAsia"/>
          <w:color w:val="auto"/>
          <w:sz w:val="24"/>
          <w:szCs w:val="24"/>
          <w:highlight w:val="none"/>
        </w:rPr>
        <w:t>限价的；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）单位负责人为同一人或者存在直接控股、管理关系的不同供应商，独立参加同一合同项下的政府采购活动的；</w:t>
      </w:r>
    </w:p>
    <w:p>
      <w:pPr>
        <w:snapToGrid w:val="0"/>
        <w:spacing w:line="400" w:lineRule="exact"/>
        <w:ind w:firstLine="480" w:firstLineChars="200"/>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sz w:val="24"/>
          <w:szCs w:val="24"/>
          <w:highlight w:val="none"/>
        </w:rPr>
        <w:t>为采购项目提供整体设计、规范编制或者项目管理、监理、检测等服务的供应商再参加该采购项目的其他采购活动的</w:t>
      </w:r>
      <w:r>
        <w:rPr>
          <w:rFonts w:hint="eastAsia" w:ascii="宋体" w:hAnsi="宋体" w:cs="宋体"/>
          <w:sz w:val="24"/>
          <w:szCs w:val="24"/>
          <w:highlight w:val="none"/>
          <w:lang w:eastAsia="zh-CN"/>
        </w:rPr>
        <w:t>。</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供应商比选有效期不满足竞争性比选文件要求的；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）供应商响应文件内容有与国家现行法律法规相违背的内容，或附有</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无法接受的条件；</w:t>
      </w:r>
    </w:p>
    <w:p>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sz w:val="24"/>
          <w:szCs w:val="24"/>
          <w:highlight w:val="none"/>
          <w:lang w:val="en-US" w:eastAsia="zh-CN"/>
        </w:rPr>
        <w:t>未在规定时间内将</w:t>
      </w:r>
      <w:r>
        <w:rPr>
          <w:rFonts w:hint="eastAsia" w:ascii="宋体" w:hAnsi="宋体" w:cs="宋体"/>
          <w:color w:val="auto"/>
          <w:sz w:val="24"/>
          <w:szCs w:val="24"/>
          <w:highlight w:val="none"/>
          <w:lang w:val="en-US" w:eastAsia="zh-CN"/>
        </w:rPr>
        <w:t>《比选文件发售登记表</w:t>
      </w:r>
      <w:r>
        <w:rPr>
          <w:rFonts w:hint="eastAsia" w:ascii="宋体" w:hAnsi="宋体" w:eastAsia="宋体" w:cs="宋体"/>
          <w:color w:val="auto"/>
          <w:sz w:val="24"/>
          <w:szCs w:val="24"/>
          <w:highlight w:val="none"/>
          <w:lang w:val="en-US" w:eastAsia="zh-CN"/>
        </w:rPr>
        <w:t>》发送至</w:t>
      </w:r>
      <w:r>
        <w:rPr>
          <w:rFonts w:hint="eastAsia" w:ascii="宋体" w:hAnsi="宋体" w:cs="宋体"/>
          <w:color w:val="auto"/>
          <w:sz w:val="24"/>
          <w:szCs w:val="24"/>
          <w:highlight w:val="none"/>
          <w:lang w:val="en-US" w:eastAsia="zh-CN"/>
        </w:rPr>
        <w:t>比选代理机构</w:t>
      </w:r>
      <w:r>
        <w:rPr>
          <w:rFonts w:hint="eastAsia" w:ascii="宋体" w:hAnsi="宋体" w:eastAsia="宋体" w:cs="宋体"/>
          <w:color w:val="auto"/>
          <w:sz w:val="24"/>
          <w:szCs w:val="24"/>
          <w:highlight w:val="none"/>
          <w:lang w:val="en-US" w:eastAsia="zh-CN"/>
        </w:rPr>
        <w:t>邮箱的</w:t>
      </w:r>
      <w:r>
        <w:rPr>
          <w:rFonts w:hint="eastAsia" w:asciiTheme="minorEastAsia" w:hAnsiTheme="minorEastAsia" w:eastAsiaTheme="minorEastAsia" w:cstheme="minorEastAsia"/>
          <w:color w:val="auto"/>
          <w:sz w:val="24"/>
          <w:szCs w:val="24"/>
          <w:highlight w:val="none"/>
        </w:rPr>
        <w:t>；</w:t>
      </w:r>
    </w:p>
    <w:p>
      <w:pPr>
        <w:snapToGrid w:val="0"/>
        <w:spacing w:line="400" w:lineRule="exact"/>
        <w:ind w:firstLine="46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lang w:eastAsia="zh-CN"/>
        </w:rPr>
        <w:t>）未按照</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文件的规定提交</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保证金的；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十一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法律、法规和竞争性比选文件规定的其他无效情形。</w:t>
      </w:r>
    </w:p>
    <w:bookmarkEnd w:id="157"/>
    <w:bookmarkEnd w:id="158"/>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9" w:name="_Toc76462336"/>
      <w:bookmarkEnd w:id="159"/>
      <w:bookmarkStart w:id="160" w:name="_Toc106030891"/>
      <w:bookmarkEnd w:id="160"/>
      <w:bookmarkStart w:id="161" w:name="_Toc21054"/>
      <w:bookmarkEnd w:id="161"/>
      <w:bookmarkStart w:id="162" w:name="_Toc30757"/>
      <w:bookmarkStart w:id="163" w:name="_Toc18456"/>
      <w:bookmarkStart w:id="164" w:name="_Toc2577"/>
      <w:r>
        <w:rPr>
          <w:rFonts w:hint="eastAsia" w:asciiTheme="minorEastAsia" w:hAnsiTheme="minorEastAsia" w:eastAsiaTheme="minorEastAsia" w:cstheme="minorEastAsia"/>
          <w:color w:val="auto"/>
          <w:sz w:val="24"/>
          <w:highlight w:val="none"/>
        </w:rPr>
        <w:t>四、采购终止</w:t>
      </w:r>
      <w:bookmarkEnd w:id="162"/>
      <w:bookmarkEnd w:id="163"/>
      <w:bookmarkEnd w:id="164"/>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应当终止竞争性比选采购活动，发布项目终止公告并说明原因，重新开展采购活动：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（一）因情况变化，不再符合规定的竞争性比选采购方式适用情形的；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（三）通过资格性及符合性审查的供应商不足3家的。</w:t>
      </w:r>
    </w:p>
    <w:p>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65" w:name="_Toc32240"/>
      <w:bookmarkEnd w:id="165"/>
      <w:bookmarkStart w:id="166" w:name="_Toc102227313"/>
      <w:bookmarkEnd w:id="166"/>
      <w:bookmarkStart w:id="167" w:name="_Toc76462337"/>
      <w:bookmarkEnd w:id="167"/>
      <w:bookmarkStart w:id="168" w:name="_Toc106030892"/>
      <w:bookmarkEnd w:id="168"/>
      <w:bookmarkStart w:id="169" w:name="_Toc27960"/>
      <w:bookmarkStart w:id="170" w:name="_Toc31318"/>
      <w:bookmarkStart w:id="171" w:name="_Toc16781"/>
      <w:r>
        <w:rPr>
          <w:rFonts w:hint="eastAsia" w:asciiTheme="minorEastAsia" w:hAnsiTheme="minorEastAsia" w:eastAsiaTheme="minorEastAsia" w:cstheme="minorEastAsia"/>
          <w:color w:val="auto"/>
          <w:sz w:val="36"/>
          <w:szCs w:val="30"/>
          <w:highlight w:val="none"/>
        </w:rPr>
        <w:t>第五篇  供应商须知</w:t>
      </w:r>
      <w:bookmarkEnd w:id="169"/>
      <w:bookmarkEnd w:id="170"/>
      <w:bookmarkEnd w:id="171"/>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2" w:name="_Toc342913389"/>
      <w:bookmarkEnd w:id="172"/>
      <w:bookmarkStart w:id="173" w:name="_Toc106030893"/>
      <w:bookmarkEnd w:id="173"/>
      <w:bookmarkStart w:id="174" w:name="_Toc76462338"/>
      <w:bookmarkEnd w:id="174"/>
      <w:bookmarkStart w:id="175" w:name="_Toc11013"/>
      <w:bookmarkEnd w:id="175"/>
      <w:bookmarkStart w:id="176" w:name="_Toc31641"/>
      <w:bookmarkStart w:id="177" w:name="_Toc22841"/>
      <w:bookmarkStart w:id="178" w:name="_Toc15712"/>
      <w:r>
        <w:rPr>
          <w:rFonts w:hint="eastAsia" w:asciiTheme="minorEastAsia" w:hAnsiTheme="minorEastAsia" w:eastAsiaTheme="minorEastAsia" w:cstheme="minorEastAsia"/>
          <w:color w:val="auto"/>
          <w:sz w:val="24"/>
          <w:highlight w:val="none"/>
        </w:rPr>
        <w:t>一、比选费用</w:t>
      </w:r>
      <w:bookmarkEnd w:id="176"/>
      <w:bookmarkEnd w:id="177"/>
      <w:bookmarkEnd w:id="178"/>
    </w:p>
    <w:p>
      <w:pPr>
        <w:pStyle w:val="156"/>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参与比选的供应商应承担其编制响应文件与递交响应文件所涉及的一切费用，不论比选结果如何，</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在任何情况下无义务也无责任承担这些费用。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9" w:name="_Toc11832"/>
      <w:bookmarkEnd w:id="179"/>
      <w:bookmarkStart w:id="180" w:name="_Toc76462339"/>
      <w:bookmarkEnd w:id="180"/>
      <w:bookmarkStart w:id="181" w:name="_Toc106030894"/>
      <w:bookmarkEnd w:id="181"/>
      <w:bookmarkStart w:id="182" w:name="_Toc342913391"/>
      <w:bookmarkEnd w:id="182"/>
      <w:bookmarkStart w:id="183" w:name="_Toc19531"/>
      <w:bookmarkStart w:id="184" w:name="_Toc17476"/>
      <w:bookmarkStart w:id="185" w:name="_Toc21109"/>
      <w:r>
        <w:rPr>
          <w:rFonts w:hint="eastAsia" w:asciiTheme="minorEastAsia" w:hAnsiTheme="minorEastAsia" w:eastAsiaTheme="minorEastAsia" w:cstheme="minorEastAsia"/>
          <w:color w:val="auto"/>
          <w:sz w:val="24"/>
          <w:highlight w:val="none"/>
        </w:rPr>
        <w:t>二、竞争性比选文件</w:t>
      </w:r>
      <w:bookmarkEnd w:id="183"/>
      <w:bookmarkEnd w:id="184"/>
      <w:bookmarkEnd w:id="185"/>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（一）竞争性比选文件由采购邀请书、项目</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需求、供应商须知、项目商务需求、</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程序及方法、评审标准、无效响应和采购终止、合同主要条款和格式合同（样本）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响应文件编制要求</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部分组成。</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）所作的一切有效的书面通知、修改及补充，都是竞争性比选文件不可分割的部分。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（三）竞争性比选文件的解释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供应商如对竞争性比选文件有疑问，以电话形式在提交响应文件截止时间1个工作日前向</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咨询。如供应商未提出疑问，视为完全理解并同意本竞争性比选文件。一经进入评审程序，即视为供应商已详细阅读全部文件资料，完全理解竞争性比选文件所有条款内容并同意放弃对这方面有不明白及误解的权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（四）评审的依据为竞争性比选文件和响应文件（含有效的书面承诺）。评审小组判断响应文件对竞争性比选文件的响应，仅基于响应文件本身而不靠外部证据。</w:t>
      </w:r>
    </w:p>
    <w:p>
      <w:pPr>
        <w:spacing w:line="400" w:lineRule="exact"/>
        <w:ind w:firstLine="480" w:firstLineChars="200"/>
        <w:outlineLvl w:val="9"/>
        <w:rPr>
          <w:rFonts w:hint="eastAsia" w:asciiTheme="minorEastAsia" w:hAnsiTheme="minorEastAsia" w:eastAsiaTheme="minorEastAsia" w:cstheme="minorEastAsia"/>
          <w:color w:val="auto"/>
          <w:sz w:val="24"/>
          <w:szCs w:val="24"/>
          <w:highlight w:val="none"/>
          <w:lang w:eastAsia="zh-CN"/>
        </w:rPr>
      </w:pPr>
      <w:bookmarkStart w:id="186" w:name="_Toc179714297"/>
      <w:bookmarkEnd w:id="186"/>
      <w:bookmarkStart w:id="187" w:name="_Toc102227318"/>
      <w:bookmarkEnd w:id="187"/>
      <w:bookmarkStart w:id="188" w:name="_Toc342913392"/>
      <w:bookmarkEnd w:id="188"/>
      <w:bookmarkStart w:id="189" w:name="_Toc76462340"/>
      <w:bookmarkEnd w:id="189"/>
      <w:bookmarkStart w:id="190" w:name="_Toc29817"/>
      <w:bookmarkEnd w:id="190"/>
      <w:bookmarkStart w:id="191" w:name="_Toc106030895"/>
      <w:bookmarkEnd w:id="191"/>
      <w:bookmarkStart w:id="192" w:name="_Toc18294"/>
      <w:bookmarkStart w:id="193" w:name="_Toc4662"/>
      <w:bookmarkStart w:id="194" w:name="_Toc23795"/>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有效期</w:t>
      </w:r>
    </w:p>
    <w:p>
      <w:pPr>
        <w:spacing w:line="400" w:lineRule="exact"/>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有效期为</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截止时间起90天。</w:t>
      </w:r>
    </w:p>
    <w:p>
      <w:pPr>
        <w:spacing w:line="4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）比选保证金</w:t>
      </w:r>
    </w:p>
    <w:p>
      <w:pPr>
        <w:snapToGrid/>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文件规定交纳</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的有效约束条件。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的有效期限在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有效期过后三十天继续有效。</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币种应与</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报价币种相同。</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评选结束后，比选人将退还除成交供应商以外的供应商的比选保证金，合同签订后无息退还成交供应商的比选保证金。</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有下列情形之一的，采购人或者采购代理机构可以不退还</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有效期撤回</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未按规定提交履约保证金的；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过程中弄虚作假，提供虚假材料的；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无正当理由不与采购人签订合同的；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项目转让给他人或者在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中未说明且未经采购人同意，将</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项目分包给他人的；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拒绝履行合同义务的；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6.7其他严重扰乱招投标程序的。</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三、参选要求</w:t>
      </w:r>
      <w:bookmarkEnd w:id="192"/>
      <w:bookmarkEnd w:id="193"/>
      <w:bookmarkEnd w:id="194"/>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供应商应当按照竞争性比选文件的要求编制响应文件，并对竞争性比选文件提出的要求和条件作出实质性响应，响应文件原则上采用软面订本，同时应编制完整的页码、目录。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响应文件组成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”规定的部分和供应商所作的一切有效补充、修改和承诺等文件组成，供应商应按照“</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”规定的目录顺序组织编写和装订，也可在基本格式基础上对表格进行扩展，未规定格式的由供应商自定格式。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（二）比选有效期：响应文件及有关承诺文件有效期为提交响应文件截止时间起90天。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（三）修正错误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若供应商所递交的响应文件中的价格出现大写金额和小写金额不一致的错误，以大写金额修正为准。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评审小组按上述修正错误的原则及方法修正供应商的报价，供应商同意并签字确认后，修正后的报价对供应商具有约束作用。如果供应商不接受修正后的价格，将失去成为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的资格。</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（四）提交响应文件的份数和签署</w:t>
      </w:r>
    </w:p>
    <w:p>
      <w:pP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1、响应文件一式四份，其中</w:t>
      </w:r>
      <w:r>
        <w:rPr>
          <w:rFonts w:hint="eastAsia" w:asciiTheme="minorEastAsia" w:hAnsiTheme="minorEastAsia" w:eastAsiaTheme="minorEastAsia" w:cstheme="minorEastAsia"/>
          <w:b/>
          <w:bCs/>
          <w:color w:val="auto"/>
          <w:sz w:val="24"/>
          <w:highlight w:val="none"/>
        </w:rPr>
        <w:t>正本一份，副本二份，电子文档一份</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32"/>
          <w:szCs w:val="22"/>
          <w:highlight w:val="none"/>
          <w:lang w:val="en-US" w:eastAsia="zh-CN"/>
        </w:rPr>
        <w:t>电子文档应为签字盖章后的PDF格式</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电子文档内容应与纸质文件正本一致，如不一致以纸质文件正本为准。推荐采用U盘</w:t>
      </w:r>
      <w:r>
        <w:rPr>
          <w:rFonts w:hint="eastAsia" w:asciiTheme="minorEastAsia" w:hAnsiTheme="minorEastAsia" w:eastAsiaTheme="minorEastAsia" w:cstheme="minorEastAsia"/>
          <w:color w:val="auto"/>
          <w:sz w:val="24"/>
          <w:highlight w:val="none"/>
          <w:lang w:val="en-US" w:eastAsia="zh-CN"/>
        </w:rPr>
        <w:t>或光盘</w:t>
      </w:r>
      <w:r>
        <w:rPr>
          <w:rFonts w:hint="eastAsia" w:asciiTheme="minorEastAsia" w:hAnsiTheme="minorEastAsia" w:eastAsiaTheme="minorEastAsia" w:cstheme="minorEastAsia"/>
          <w:color w:val="auto"/>
          <w:sz w:val="24"/>
          <w:highlight w:val="none"/>
        </w:rPr>
        <w:t>为电子文档载体）；副本可为正本的复印件，应与正本一致，如出现不一致情况以正本为准。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2、在响应文件正本中，</w:t>
      </w:r>
      <w:r>
        <w:rPr>
          <w:rFonts w:hint="eastAsia" w:asciiTheme="minorEastAsia" w:hAnsiTheme="minorEastAsia" w:eastAsiaTheme="minorEastAsia" w:cstheme="minorEastAsia"/>
          <w:color w:val="auto"/>
          <w:sz w:val="24"/>
          <w:highlight w:val="none"/>
          <w:lang w:eastAsia="zh-CN"/>
        </w:rPr>
        <w:t>竞争性比选文件</w:t>
      </w:r>
      <w:r>
        <w:rPr>
          <w:rFonts w:hint="eastAsia" w:asciiTheme="minorEastAsia" w:hAnsiTheme="minorEastAsia" w:eastAsiaTheme="minorEastAsia" w:cstheme="minorEastAsia"/>
          <w:color w:val="auto"/>
          <w:sz w:val="24"/>
          <w:highlight w:val="none"/>
        </w:rPr>
        <w:t>第七篇响应文件编制要求中规定签字、盖章的地方必须按其规定签字、盖章。</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（五）响应文件的递交</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1、响应文件的密封</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响应文件的正本、副本以及电子文档均应密封送达递交响应文件地点，应在封套上注明项目名称、供应商名称。若正本、副本以及电子文档分别进行密封的，还应在封套上注明“正本”、“副本”、“电子文档”字样。</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1.2封套的封口处应加盖供应商公章或由法定代表人授权代表签字。</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2、如果未按上述规定进行密封，</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对响应文件误投、丢失或提前拆封不负责任。</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（六）供应商参与人员</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各个供应商应当派1-2名代表参与比选，至少1人应为法定代表人（或其授权代表）或自然人（供应商为自然人）。</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95" w:name="_Toc9369"/>
      <w:bookmarkEnd w:id="195"/>
      <w:bookmarkStart w:id="196" w:name="_Toc76462341"/>
      <w:bookmarkEnd w:id="196"/>
      <w:bookmarkStart w:id="197" w:name="_Toc106030896"/>
      <w:bookmarkEnd w:id="197"/>
      <w:bookmarkStart w:id="198" w:name="_Toc3623"/>
      <w:bookmarkStart w:id="199" w:name="_Toc26377"/>
      <w:bookmarkStart w:id="200" w:name="_Toc30084"/>
      <w:r>
        <w:rPr>
          <w:rFonts w:hint="eastAsia" w:asciiTheme="minorEastAsia" w:hAnsiTheme="minorEastAsia" w:eastAsiaTheme="minorEastAsia" w:cstheme="minorEastAsia"/>
          <w:color w:val="auto"/>
          <w:sz w:val="24"/>
          <w:highlight w:val="none"/>
        </w:rPr>
        <w:t>四、</w:t>
      </w:r>
      <w:r>
        <w:rPr>
          <w:rFonts w:hint="eastAsia" w:asciiTheme="minorEastAsia" w:hAnsiTheme="minorEastAsia" w:eastAsiaTheme="minorEastAsia" w:cstheme="minorEastAsia"/>
          <w:color w:val="auto"/>
          <w:sz w:val="24"/>
          <w:highlight w:val="none"/>
          <w:lang w:eastAsia="zh-CN"/>
        </w:rPr>
        <w:t>成交供应商</w:t>
      </w:r>
      <w:r>
        <w:rPr>
          <w:rFonts w:hint="eastAsia" w:asciiTheme="minorEastAsia" w:hAnsiTheme="minorEastAsia" w:eastAsiaTheme="minorEastAsia" w:cstheme="minorEastAsia"/>
          <w:color w:val="auto"/>
          <w:sz w:val="24"/>
          <w:highlight w:val="none"/>
        </w:rPr>
        <w:t>的确认和变更</w:t>
      </w:r>
      <w:bookmarkEnd w:id="198"/>
      <w:bookmarkEnd w:id="199"/>
      <w:bookmarkEnd w:id="20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的确认</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应当在评审结束后2个工作日内将评审报告送</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确认。</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应当在收到评审报告后5个工作日内，从评审报告提出的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中，按照排序由高到低的原则确定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，也可以书面授权评审小组直接确定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逾期未确定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且不提出异议的，视为确定评审报告提出的排序第一的供应商为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的变更</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拒绝与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签订合同的，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可以按照评标报告推荐的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顺序，确定排名下一位的候选人为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，也可以重新开展采购活动。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01" w:name="_Toc76462342"/>
      <w:bookmarkEnd w:id="201"/>
      <w:bookmarkStart w:id="202" w:name="_Toc342913395"/>
      <w:bookmarkEnd w:id="202"/>
      <w:bookmarkStart w:id="203" w:name="_Toc29760"/>
      <w:bookmarkEnd w:id="203"/>
      <w:bookmarkStart w:id="204" w:name="_Toc102227321"/>
      <w:bookmarkEnd w:id="204"/>
      <w:bookmarkStart w:id="205" w:name="_Toc106030897"/>
      <w:bookmarkEnd w:id="205"/>
      <w:bookmarkStart w:id="206" w:name="_Toc10489"/>
      <w:bookmarkStart w:id="207" w:name="_Toc994"/>
      <w:bookmarkStart w:id="208" w:name="_Toc20908"/>
      <w:r>
        <w:rPr>
          <w:rFonts w:hint="eastAsia" w:asciiTheme="minorEastAsia" w:hAnsiTheme="minorEastAsia" w:eastAsiaTheme="minorEastAsia" w:cstheme="minorEastAsia"/>
          <w:color w:val="auto"/>
          <w:sz w:val="24"/>
          <w:highlight w:val="none"/>
        </w:rPr>
        <w:t>五、成交通知</w:t>
      </w:r>
      <w:bookmarkEnd w:id="206"/>
      <w:bookmarkEnd w:id="207"/>
      <w:bookmarkEnd w:id="208"/>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确定后，</w:t>
      </w:r>
      <w:r>
        <w:rPr>
          <w:rFonts w:hint="eastAsia" w:asciiTheme="minorEastAsia" w:hAnsiTheme="minorEastAsia" w:eastAsiaTheme="minorEastAsia" w:cstheme="minorEastAsia"/>
          <w:color w:val="auto"/>
          <w:sz w:val="24"/>
          <w:szCs w:val="24"/>
          <w:highlight w:val="none"/>
          <w:lang w:val="en-US" w:eastAsia="zh-CN"/>
        </w:rPr>
        <w:t>比选人或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将在</w:t>
      </w:r>
      <w:r>
        <w:rPr>
          <w:rFonts w:hint="eastAsia" w:ascii="宋体" w:hAnsi="宋体" w:eastAsia="宋体" w:cs="宋体"/>
          <w:sz w:val="24"/>
          <w:szCs w:val="24"/>
          <w:highlight w:val="none"/>
          <w:lang w:eastAsia="zh-CN"/>
        </w:rPr>
        <w:t>“重庆</w:t>
      </w:r>
      <w:r>
        <w:rPr>
          <w:rFonts w:hint="eastAsia" w:ascii="宋体" w:hAnsi="宋体" w:eastAsia="宋体" w:cs="宋体"/>
          <w:sz w:val="24"/>
          <w:szCs w:val="24"/>
          <w:highlight w:val="none"/>
          <w:lang w:val="en-US" w:eastAsia="zh-CN"/>
        </w:rPr>
        <w:t>园博园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（http://www.cqybh2011.com/cqyby/index.html）</w:t>
      </w:r>
      <w:r>
        <w:rPr>
          <w:rFonts w:hint="eastAsia" w:ascii="宋体" w:hAnsi="宋体" w:eastAsia="宋体" w:cs="宋体"/>
          <w:sz w:val="24"/>
          <w:szCs w:val="24"/>
          <w:highlight w:val="none"/>
          <w:lang w:val="en-US" w:eastAsia="zh-CN"/>
        </w:rPr>
        <w:t>和“中国采购与招标网”（https://www.chinabidding.com.cn/）</w:t>
      </w:r>
      <w:r>
        <w:rPr>
          <w:rFonts w:hint="eastAsia" w:asciiTheme="minorEastAsia" w:hAnsiTheme="minorEastAsia" w:eastAsiaTheme="minorEastAsia" w:cstheme="minorEastAsia"/>
          <w:color w:val="auto"/>
          <w:sz w:val="24"/>
          <w:szCs w:val="24"/>
          <w:highlight w:val="none"/>
        </w:rPr>
        <w:t>上发布成交结果公告。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209" w:name="_Toc106030898"/>
      <w:bookmarkEnd w:id="209"/>
      <w:bookmarkStart w:id="210" w:name="_Toc76462343"/>
      <w:bookmarkEnd w:id="210"/>
      <w:bookmarkStart w:id="211" w:name="_Toc27425"/>
      <w:bookmarkEnd w:id="211"/>
      <w:bookmarkStart w:id="212" w:name="_Toc4289"/>
      <w:bookmarkStart w:id="213" w:name="_Toc27612"/>
      <w:bookmarkStart w:id="214" w:name="_Toc16322"/>
      <w:r>
        <w:rPr>
          <w:rFonts w:hint="eastAsia" w:asciiTheme="minorEastAsia" w:hAnsiTheme="minorEastAsia" w:eastAsiaTheme="minorEastAsia" w:cstheme="minorEastAsia"/>
          <w:color w:val="auto"/>
          <w:sz w:val="24"/>
          <w:highlight w:val="none"/>
        </w:rPr>
        <w:t>六、关于</w:t>
      </w:r>
      <w:bookmarkEnd w:id="212"/>
      <w:bookmarkEnd w:id="213"/>
      <w:bookmarkEnd w:id="214"/>
      <w:r>
        <w:rPr>
          <w:rFonts w:hint="eastAsia" w:asciiTheme="minorEastAsia" w:hAnsiTheme="minorEastAsia" w:eastAsiaTheme="minorEastAsia" w:cstheme="minorEastAsia"/>
          <w:color w:val="auto"/>
          <w:sz w:val="24"/>
          <w:highlight w:val="none"/>
          <w:lang w:val="en-US" w:eastAsia="zh-CN"/>
        </w:rPr>
        <w:t>质疑</w:t>
      </w:r>
    </w:p>
    <w:p>
      <w:pPr>
        <w:spacing w:line="400" w:lineRule="exact"/>
        <w:ind w:firstLine="360" w:firstLineChars="15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（一）质疑</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供应商认为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过程和成交结果使自己的权益收到伤害的，可向</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人或</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代理机构以书面形式提出质疑。</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提出质疑的应当是参与所质疑项目采购活动的供应商。 </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1.质疑时限、内容</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1.1供应商认为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过程、成交结果使自己的权益受到损害的，可以在知道或者应知其权益受到损害之日起</w:t>
      </w:r>
      <w:r>
        <w:rPr>
          <w:rFonts w:hint="eastAsia" w:ascii="宋体" w:hAnsi="宋体" w:eastAsia="宋体" w:cs="宋体"/>
          <w:b/>
          <w:bCs/>
          <w:sz w:val="24"/>
          <w:highlight w:val="none"/>
          <w:lang w:eastAsia="zh-CN"/>
        </w:rPr>
        <w:t>2</w:t>
      </w:r>
      <w:r>
        <w:rPr>
          <w:rFonts w:hint="eastAsia" w:ascii="宋体" w:hAnsi="宋体" w:eastAsia="宋体" w:cs="宋体"/>
          <w:sz w:val="24"/>
          <w:highlight w:val="none"/>
        </w:rPr>
        <w:t>个工作日内，以书面形式向</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代理机构提出质疑。</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1.2供应商提出质疑应当提交质疑函和必要的证明材料，质疑函应当包括下列内容：</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1.2.1供应商的姓名或者名称、地址、邮编、联系人及联系电话；</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1.2.2</w:t>
      </w:r>
      <w:r>
        <w:rPr>
          <w:rFonts w:hint="eastAsia" w:ascii="宋体" w:hAnsi="宋体" w:eastAsia="宋体" w:cs="宋体"/>
          <w:sz w:val="24"/>
          <w:szCs w:val="24"/>
          <w:highlight w:val="none"/>
        </w:rPr>
        <w:t>质疑项目的项目名称、</w:t>
      </w: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rPr>
        <w:t>以及采购执行编号</w:t>
      </w:r>
      <w:r>
        <w:rPr>
          <w:rFonts w:hint="eastAsia" w:ascii="宋体" w:hAnsi="宋体" w:eastAsia="宋体" w:cs="宋体"/>
          <w:sz w:val="24"/>
          <w:highlight w:val="none"/>
        </w:rPr>
        <w:t>；</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1.2.3具体、明确的质疑事项和与质疑事项相关的请求；</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1.2.4事实依据；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1.2.5必要的法律依据；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1.2.6提出质疑的日期；</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1.2.7营业执照（或事业单位法人证书，或个体工商户营业执照或有效的自然人身份证明）复印件；</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2.质疑答复</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代理机构应当在收到供应商的书面质疑后七个工作日内作出答复，并以书面形式通知质疑供应商和其他有关供应商。</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3.其他</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highlight w:val="none"/>
        </w:rPr>
        <w:t>3.2质疑函范本可在财政部门户网站和中国政府采购网下载。</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15" w:name="_Toc813"/>
      <w:bookmarkEnd w:id="215"/>
      <w:bookmarkStart w:id="216" w:name="_Toc76462344"/>
      <w:bookmarkEnd w:id="216"/>
      <w:bookmarkStart w:id="217" w:name="_Toc106030899"/>
      <w:bookmarkEnd w:id="217"/>
      <w:bookmarkStart w:id="218" w:name="_Toc27468"/>
      <w:bookmarkStart w:id="219" w:name="_Toc3392"/>
      <w:bookmarkStart w:id="220" w:name="_Toc16809"/>
      <w:r>
        <w:rPr>
          <w:rFonts w:hint="eastAsia" w:asciiTheme="minorEastAsia" w:hAnsiTheme="minorEastAsia" w:eastAsiaTheme="minorEastAsia" w:cstheme="minorEastAsia"/>
          <w:color w:val="auto"/>
          <w:sz w:val="24"/>
          <w:highlight w:val="none"/>
        </w:rPr>
        <w:t>七、采购代理服务费</w:t>
      </w:r>
      <w:bookmarkEnd w:id="218"/>
      <w:bookmarkEnd w:id="219"/>
      <w:bookmarkEnd w:id="220"/>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一</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成交</w:t>
      </w:r>
      <w:r>
        <w:rPr>
          <w:rFonts w:hint="eastAsia" w:asciiTheme="minorEastAsia" w:hAnsiTheme="minorEastAsia" w:eastAsiaTheme="minorEastAsia" w:cstheme="minorEastAsia"/>
          <w:color w:val="auto"/>
          <w:sz w:val="24"/>
          <w:highlight w:val="none"/>
        </w:rPr>
        <w:t>供应商领取成交通知书前</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向</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缴纳采购代理服务费，采购代理服务费</w:t>
      </w:r>
      <w:r>
        <w:rPr>
          <w:rFonts w:hint="eastAsia" w:asciiTheme="minorEastAsia" w:hAnsiTheme="minorEastAsia" w:eastAsiaTheme="minorEastAsia" w:cstheme="minorEastAsia"/>
          <w:color w:val="auto"/>
          <w:sz w:val="24"/>
          <w:highlight w:val="none"/>
          <w:lang w:val="en-US" w:eastAsia="zh-CN"/>
        </w:rPr>
        <w:t>4500元</w:t>
      </w:r>
      <w:r>
        <w:rPr>
          <w:rFonts w:hint="eastAsia" w:asciiTheme="minorEastAsia" w:hAnsiTheme="minorEastAsia" w:eastAsiaTheme="minorEastAsia" w:cstheme="minorEastAsia"/>
          <w:color w:val="auto"/>
          <w:sz w:val="24"/>
          <w:highlight w:val="none"/>
        </w:rPr>
        <w:t>。</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）采购代理服务费缴纳账户信息：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221" w:name="_Toc30259"/>
      <w:bookmarkEnd w:id="221"/>
      <w:bookmarkStart w:id="222" w:name="_Toc102227322"/>
      <w:bookmarkEnd w:id="222"/>
      <w:bookmarkStart w:id="223" w:name="_Toc342913396"/>
      <w:bookmarkEnd w:id="223"/>
      <w:bookmarkStart w:id="224" w:name="_Toc76462346"/>
      <w:bookmarkEnd w:id="224"/>
      <w:bookmarkStart w:id="225" w:name="_Toc106030901"/>
      <w:bookmarkEnd w:id="225"/>
      <w:bookmarkStart w:id="226" w:name="_Toc27155"/>
      <w:bookmarkStart w:id="227" w:name="_Toc22641"/>
      <w:bookmarkStart w:id="228" w:name="_Toc11641055"/>
      <w:bookmarkStart w:id="229" w:name="_Toc12789059"/>
      <w:r>
        <w:rPr>
          <w:rFonts w:hint="eastAsia" w:asciiTheme="minorEastAsia" w:hAnsiTheme="minorEastAsia" w:eastAsiaTheme="minorEastAsia" w:cstheme="minorEastAsia"/>
          <w:color w:val="auto"/>
          <w:sz w:val="24"/>
          <w:szCs w:val="24"/>
          <w:highlight w:val="none"/>
        </w:rPr>
        <w:t>户  名：华春建设工程项目管理有限责任公司重庆分公司</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开户行：工行刘家台支行</w:t>
      </w:r>
    </w:p>
    <w:p>
      <w:pPr>
        <w:spacing w:line="400" w:lineRule="exact"/>
        <w:ind w:firstLine="480" w:firstLineChars="200"/>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color w:val="auto"/>
          <w:sz w:val="24"/>
          <w:szCs w:val="24"/>
          <w:highlight w:val="none"/>
        </w:rPr>
        <w:t>账  号：3100 2105 0900 0017 004</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30" w:name="_Toc11813"/>
      <w:r>
        <w:rPr>
          <w:rFonts w:hint="eastAsia" w:asciiTheme="minorEastAsia" w:hAnsiTheme="minorEastAsia" w:eastAsiaTheme="minorEastAsia" w:cstheme="minorEastAsia"/>
          <w:color w:val="auto"/>
          <w:sz w:val="24"/>
          <w:highlight w:val="none"/>
        </w:rPr>
        <w:t>八、签订合同</w:t>
      </w:r>
      <w:bookmarkEnd w:id="226"/>
      <w:bookmarkEnd w:id="227"/>
      <w:bookmarkEnd w:id="230"/>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lang w:eastAsia="zh-CN"/>
        </w:rPr>
        <w:t>比选人</w:t>
      </w:r>
      <w:r>
        <w:rPr>
          <w:rFonts w:hint="eastAsia" w:asciiTheme="minorEastAsia" w:hAnsiTheme="minorEastAsia" w:eastAsiaTheme="minorEastAsia" w:cstheme="minorEastAsia"/>
          <w:color w:val="auto"/>
          <w:sz w:val="24"/>
          <w:highlight w:val="none"/>
        </w:rPr>
        <w:t>原则上应在成交通知书发出之日起二十日内和</w:t>
      </w:r>
      <w:r>
        <w:rPr>
          <w:rFonts w:hint="eastAsia" w:asciiTheme="minorEastAsia" w:hAnsiTheme="minorEastAsia" w:eastAsiaTheme="minorEastAsia" w:cstheme="minorEastAsia"/>
          <w:color w:val="auto"/>
          <w:sz w:val="24"/>
          <w:highlight w:val="none"/>
          <w:lang w:eastAsia="zh-CN"/>
        </w:rPr>
        <w:t>成交供应商</w:t>
      </w:r>
      <w:r>
        <w:rPr>
          <w:rFonts w:hint="eastAsia" w:asciiTheme="minorEastAsia" w:hAnsiTheme="minorEastAsia" w:eastAsiaTheme="minorEastAsia" w:cstheme="minorEastAsia"/>
          <w:color w:val="auto"/>
          <w:sz w:val="24"/>
          <w:highlight w:val="none"/>
        </w:rPr>
        <w:t>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。所签订的合同不得对竞争性比选文件和供应商的响应文件作实质性修改。其他未尽事宜由</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在采购合同中详细约定。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（二）竞争性比选文件、供应商的响应文件及澄清文件等，均为签订采购合同的依据。</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提供履约保证金的，应当在竞争性比选文件中予以约定。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履约完毕后，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根据采购文件规定无息退还其履约保证金。</w:t>
      </w:r>
      <w:bookmarkStart w:id="231" w:name="_Toc106030902"/>
      <w:bookmarkEnd w:id="231"/>
      <w:bookmarkStart w:id="232" w:name="_Toc16198"/>
      <w:bookmarkEnd w:id="232"/>
    </w:p>
    <w:p>
      <w:pPr>
        <w:rPr>
          <w:rFonts w:hint="eastAsia" w:asciiTheme="minorEastAsia" w:hAnsiTheme="minorEastAsia" w:eastAsiaTheme="minorEastAsia" w:cstheme="minorEastAsia"/>
          <w:color w:val="auto"/>
          <w:sz w:val="24"/>
          <w:szCs w:val="24"/>
          <w:highlight w:val="none"/>
        </w:rPr>
      </w:pPr>
    </w:p>
    <w:p>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lang w:val="en-US" w:eastAsia="zh-CN"/>
        </w:rPr>
      </w:pPr>
      <w:bookmarkStart w:id="233" w:name="_Toc5582"/>
      <w:r>
        <w:rPr>
          <w:rFonts w:hint="eastAsia" w:asciiTheme="minorEastAsia" w:hAnsiTheme="minorEastAsia" w:eastAsiaTheme="minorEastAsia" w:cstheme="minorEastAsia"/>
          <w:color w:val="auto"/>
          <w:sz w:val="36"/>
          <w:szCs w:val="30"/>
          <w:highlight w:val="none"/>
          <w:lang w:val="en-US" w:eastAsia="zh-CN"/>
        </w:rPr>
        <w:t xml:space="preserve">第六篇 </w:t>
      </w:r>
      <w:bookmarkEnd w:id="233"/>
      <w:bookmarkStart w:id="234" w:name="_Toc14081"/>
      <w:bookmarkStart w:id="235" w:name="_Toc440794668"/>
      <w:bookmarkStart w:id="236" w:name="_Toc436925127"/>
      <w:bookmarkStart w:id="237" w:name="_Toc461641182"/>
      <w:r>
        <w:rPr>
          <w:rFonts w:hint="eastAsia" w:asciiTheme="minorEastAsia" w:hAnsiTheme="minorEastAsia" w:eastAsiaTheme="minorEastAsia" w:cstheme="minorEastAsia"/>
          <w:color w:val="auto"/>
          <w:sz w:val="36"/>
          <w:szCs w:val="30"/>
          <w:highlight w:val="none"/>
          <w:lang w:val="en-US" w:eastAsia="zh-CN"/>
        </w:rPr>
        <w:t>采购合同（参考）</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采购合同</w:t>
      </w:r>
    </w:p>
    <w:p>
      <w:pPr>
        <w:spacing w:line="500" w:lineRule="exact"/>
        <w:jc w:val="center"/>
        <w:rPr>
          <w:rFonts w:hint="eastAsia" w:ascii="宋体" w:hAnsi="宋体" w:cs="宋体"/>
          <w:color w:val="auto"/>
          <w:highlight w:val="none"/>
        </w:rPr>
      </w:pPr>
      <w:r>
        <w:rPr>
          <w:rFonts w:hint="eastAsia" w:ascii="宋体" w:hAnsi="宋体" w:cs="宋体"/>
          <w:color w:val="auto"/>
          <w:highlight w:val="none"/>
        </w:rPr>
        <w:t>（项目</w:t>
      </w:r>
      <w:r>
        <w:rPr>
          <w:rFonts w:hint="eastAsia" w:ascii="宋体" w:hAnsi="宋体" w:cs="宋体"/>
          <w:color w:val="auto"/>
          <w:highlight w:val="none"/>
          <w:lang w:val="en-US" w:eastAsia="zh-CN"/>
        </w:rPr>
        <w:t>编</w:t>
      </w:r>
      <w:r>
        <w:rPr>
          <w:rFonts w:hint="eastAsia" w:ascii="宋体" w:hAnsi="宋体" w:cs="宋体"/>
          <w:color w:val="auto"/>
          <w:highlight w:val="none"/>
        </w:rPr>
        <w:t>号：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甲方（需方）：___________________________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乙方（供方）：___________________________    </w:t>
      </w:r>
    </w:p>
    <w:p>
      <w:pPr>
        <w:spacing w:line="500" w:lineRule="exact"/>
        <w:rPr>
          <w:rFonts w:hint="eastAsia" w:ascii="宋体" w:hAnsi="宋体" w:cs="宋体"/>
          <w:color w:val="auto"/>
          <w:sz w:val="24"/>
          <w:highlight w:val="none"/>
        </w:rPr>
      </w:pP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经双方协商一致，达成以下合同：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573"/>
        <w:gridCol w:w="1843"/>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项目名称</w:t>
            </w:r>
          </w:p>
        </w:tc>
        <w:tc>
          <w:tcPr>
            <w:tcW w:w="3416" w:type="dxa"/>
            <w:gridSpan w:val="2"/>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租金（元/年）</w:t>
            </w:r>
          </w:p>
        </w:tc>
        <w:tc>
          <w:tcPr>
            <w:tcW w:w="1559" w:type="dxa"/>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cs="宋体"/>
                <w:color w:val="auto"/>
                <w:sz w:val="21"/>
                <w:szCs w:val="21"/>
                <w:highlight w:val="none"/>
              </w:rPr>
            </w:pPr>
          </w:p>
        </w:tc>
        <w:tc>
          <w:tcPr>
            <w:tcW w:w="3416" w:type="dxa"/>
            <w:gridSpan w:val="2"/>
            <w:vAlign w:val="center"/>
          </w:tcPr>
          <w:p>
            <w:pPr>
              <w:spacing w:line="240" w:lineRule="atLeast"/>
              <w:jc w:val="center"/>
              <w:rPr>
                <w:rFonts w:hint="eastAsia" w:ascii="宋体" w:hAnsi="宋体" w:cs="宋体"/>
                <w:color w:val="auto"/>
                <w:sz w:val="21"/>
                <w:szCs w:val="21"/>
                <w:highlight w:val="none"/>
              </w:rPr>
            </w:pPr>
          </w:p>
        </w:tc>
        <w:tc>
          <w:tcPr>
            <w:tcW w:w="1559" w:type="dxa"/>
            <w:vAlign w:val="center"/>
          </w:tcPr>
          <w:p>
            <w:pPr>
              <w:spacing w:line="240" w:lineRule="atLeast"/>
              <w:jc w:val="center"/>
              <w:rPr>
                <w:rFonts w:hint="eastAsia" w:ascii="宋体" w:hAnsi="宋体" w:cs="宋体"/>
                <w:color w:val="auto"/>
                <w:sz w:val="21"/>
                <w:szCs w:val="21"/>
                <w:highlight w:val="none"/>
              </w:rPr>
            </w:pPr>
          </w:p>
        </w:tc>
        <w:tc>
          <w:tcPr>
            <w:tcW w:w="1567" w:type="dxa"/>
            <w:vAlign w:val="center"/>
          </w:tcPr>
          <w:p>
            <w:pPr>
              <w:spacing w:line="240" w:lineRule="atLeas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5"/>
            <w:vAlign w:val="center"/>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5"/>
            <w:vAlign w:val="center"/>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5"/>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6"/>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color w:val="auto"/>
                <w:sz w:val="21"/>
                <w:szCs w:val="21"/>
                <w:highlight w:val="none"/>
                <w:lang w:val="en-US" w:eastAsia="zh-CN"/>
              </w:rPr>
              <w:t>验收</w:t>
            </w:r>
            <w:r>
              <w:rPr>
                <w:rFonts w:hint="eastAsia" w:ascii="宋体" w:hAnsi="宋体" w:cs="宋体"/>
                <w:color w:val="auto"/>
                <w:sz w:val="21"/>
                <w:szCs w:val="21"/>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三、付款方式：</w:t>
            </w:r>
          </w:p>
          <w:p>
            <w:pPr>
              <w:pStyle w:val="32"/>
              <w:spacing w:line="240" w:lineRule="atLeas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628" w:type="dxa"/>
            <w:gridSpan w:val="6"/>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四、违约责任：</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按《中华人民共和国民法典》、《政府采购法》执行，或按双方约定。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628" w:type="dxa"/>
            <w:gridSpan w:val="6"/>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五、其他约定事项：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1.采购文件及其补遗文件、响应文件和承诺是本合同不可分割的部分。</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2"/>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需方：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4"/>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供方：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账号：</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p>
            <w:pPr>
              <w:widowControl/>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p>
            <w:pPr>
              <w:spacing w:line="240" w:lineRule="atLeast"/>
              <w:rPr>
                <w:rFonts w:hint="eastAsia" w:ascii="宋体" w:hAnsi="宋体" w:cs="宋体"/>
                <w:color w:val="auto"/>
                <w:sz w:val="21"/>
                <w:szCs w:val="21"/>
                <w:highlight w:val="none"/>
              </w:rPr>
            </w:pPr>
          </w:p>
          <w:p>
            <w:pPr>
              <w:spacing w:line="240" w:lineRule="atLeast"/>
              <w:rPr>
                <w:rFonts w:hint="eastAsia" w:ascii="宋体" w:hAnsi="宋体" w:cs="宋体"/>
                <w:color w:val="auto"/>
                <w:sz w:val="21"/>
                <w:szCs w:val="21"/>
                <w:highlight w:val="none"/>
              </w:rPr>
            </w:pPr>
          </w:p>
        </w:tc>
      </w:tr>
    </w:tbl>
    <w:p>
      <w:pPr>
        <w:rPr>
          <w:rFonts w:hint="eastAsia" w:ascii="宋体" w:hAnsi="宋体" w:cs="宋体"/>
          <w:color w:val="auto"/>
          <w:sz w:val="24"/>
          <w:highlight w:val="none"/>
        </w:rPr>
      </w:pPr>
      <w:r>
        <w:rPr>
          <w:rFonts w:hint="eastAsia" w:ascii="宋体" w:hAnsi="宋体" w:cs="宋体"/>
          <w:color w:val="auto"/>
          <w:sz w:val="24"/>
          <w:highlight w:val="none"/>
        </w:rPr>
        <w:t>签约时间：           年   月   日      签约地点：</w:t>
      </w:r>
    </w:p>
    <w:p>
      <w:pPr>
        <w:widowControl/>
        <w:kinsoku/>
        <w:wordWrap/>
        <w:overflowPunct/>
        <w:topLinePunct w:val="0"/>
        <w:autoSpaceDE/>
        <w:autoSpaceDN/>
        <w:bidi w:val="0"/>
        <w:spacing w:line="360" w:lineRule="auto"/>
        <w:jc w:val="left"/>
        <w:textAlignment w:val="auto"/>
        <w:rPr>
          <w:rFonts w:hint="eastAsia" w:ascii="宋体" w:hAnsi="宋体" w:eastAsia="宋体" w:cs="宋体"/>
          <w:b/>
          <w:bCs/>
          <w:color w:val="auto"/>
          <w:sz w:val="22"/>
          <w:szCs w:val="22"/>
          <w:highlight w:val="none"/>
        </w:rPr>
      </w:pPr>
    </w:p>
    <w:bookmarkEnd w:id="234"/>
    <w:bookmarkEnd w:id="235"/>
    <w:bookmarkEnd w:id="236"/>
    <w:bookmarkEnd w:id="237"/>
    <w:p>
      <w:pPr>
        <w:pStyle w:val="4"/>
        <w:spacing w:before="0" w:after="0" w:line="360" w:lineRule="auto"/>
        <w:jc w:val="center"/>
        <w:rPr>
          <w:rFonts w:hint="eastAsia" w:asciiTheme="minorEastAsia" w:hAnsiTheme="minorEastAsia" w:eastAsiaTheme="minorEastAsia" w:cstheme="minorEastAsia"/>
          <w:color w:val="auto"/>
          <w:sz w:val="36"/>
          <w:szCs w:val="36"/>
          <w:highlight w:val="none"/>
        </w:rPr>
      </w:pPr>
      <w:bookmarkStart w:id="238" w:name="_Toc11026"/>
      <w:bookmarkStart w:id="239" w:name="_Toc13094"/>
      <w:bookmarkStart w:id="240" w:name="_Toc14944"/>
    </w:p>
    <w:p>
      <w:pPr>
        <w:pStyle w:val="4"/>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七</w:t>
      </w:r>
      <w:r>
        <w:rPr>
          <w:rFonts w:hint="eastAsia" w:asciiTheme="minorEastAsia" w:hAnsiTheme="minorEastAsia" w:eastAsiaTheme="minorEastAsia" w:cstheme="minorEastAsia"/>
          <w:color w:val="auto"/>
          <w:sz w:val="36"/>
          <w:szCs w:val="36"/>
          <w:highlight w:val="none"/>
        </w:rPr>
        <w:t xml:space="preserve">篇  </w:t>
      </w:r>
      <w:bookmarkEnd w:id="228"/>
      <w:bookmarkEnd w:id="229"/>
      <w:bookmarkEnd w:id="238"/>
      <w:bookmarkStart w:id="241" w:name="_Toc26889"/>
      <w:r>
        <w:rPr>
          <w:rFonts w:hint="eastAsia" w:asciiTheme="minorEastAsia" w:hAnsiTheme="minorEastAsia" w:eastAsiaTheme="minorEastAsia" w:cstheme="minorEastAsia"/>
          <w:bCs/>
          <w:color w:val="auto"/>
          <w:sz w:val="36"/>
          <w:szCs w:val="30"/>
          <w:highlight w:val="none"/>
        </w:rPr>
        <w:t>响应文件编制要求</w:t>
      </w:r>
      <w:bookmarkEnd w:id="239"/>
      <w:bookmarkEnd w:id="240"/>
      <w:bookmarkEnd w:id="241"/>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（一）竞争性比选报价函（格式）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（一）服务方案自行编制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宋体" w:hAnsi="宋体" w:eastAsia="宋体" w:cs="宋体"/>
          <w:color w:val="auto"/>
          <w:sz w:val="24"/>
          <w:szCs w:val="24"/>
          <w:highlight w:val="none"/>
        </w:rPr>
        <w:t>其他技术资料</w:t>
      </w:r>
      <w:r>
        <w:rPr>
          <w:rFonts w:hint="eastAsia" w:ascii="宋体" w:hAnsi="宋体" w:eastAsia="宋体" w:cs="宋体"/>
          <w:color w:val="auto"/>
          <w:sz w:val="24"/>
          <w:szCs w:val="28"/>
          <w:highlight w:val="none"/>
          <w:lang w:eastAsia="zh-CN"/>
        </w:rPr>
        <w:t>（格式自拟）</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（二）其它商务评审资料或承诺（自附）</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w:t>
      </w: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highlight w:val="none"/>
        </w:rPr>
      </w:pPr>
      <w:bookmarkStart w:id="242" w:name="_Toc11543"/>
      <w:bookmarkEnd w:id="242"/>
      <w:bookmarkStart w:id="243" w:name="_Toc313008356"/>
      <w:bookmarkEnd w:id="243"/>
      <w:bookmarkStart w:id="244" w:name="_Toc76462350"/>
      <w:bookmarkEnd w:id="244"/>
      <w:bookmarkStart w:id="245" w:name="_Toc313888360"/>
      <w:bookmarkEnd w:id="245"/>
      <w:bookmarkStart w:id="246" w:name="_Toc106030906"/>
      <w:bookmarkEnd w:id="246"/>
      <w:bookmarkStart w:id="247" w:name="_Toc342913419"/>
      <w:bookmarkEnd w:id="247"/>
      <w:bookmarkStart w:id="248" w:name="_Toc15372"/>
      <w:bookmarkStart w:id="249" w:name="_Toc22083"/>
      <w:r>
        <w:rPr>
          <w:rFonts w:hint="eastAsia" w:asciiTheme="minorEastAsia" w:hAnsiTheme="minorEastAsia" w:eastAsiaTheme="minorEastAsia" w:cstheme="minorEastAsia"/>
          <w:color w:val="auto"/>
          <w:sz w:val="24"/>
          <w:highlight w:val="none"/>
        </w:rPr>
        <w:br w:type="page"/>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50" w:name="_Toc28503"/>
      <w:r>
        <w:rPr>
          <w:rFonts w:hint="eastAsia" w:asciiTheme="minorEastAsia" w:hAnsiTheme="minorEastAsia" w:eastAsiaTheme="minorEastAsia" w:cstheme="minorEastAsia"/>
          <w:color w:val="auto"/>
          <w:sz w:val="24"/>
          <w:highlight w:val="none"/>
        </w:rPr>
        <w:t>一、经济部分</w:t>
      </w:r>
      <w:bookmarkEnd w:id="248"/>
      <w:bookmarkEnd w:id="249"/>
      <w:bookmarkEnd w:id="250"/>
    </w:p>
    <w:p>
      <w:pPr>
        <w:jc w:val="center"/>
        <w:rPr>
          <w:rFonts w:hint="eastAsia" w:asciiTheme="minorEastAsia" w:hAnsiTheme="minorEastAsia" w:eastAsiaTheme="minorEastAsia" w:cstheme="minorEastAsia"/>
          <w:b/>
          <w:color w:val="auto"/>
          <w:szCs w:val="28"/>
          <w:highlight w:val="none"/>
        </w:rPr>
      </w:pPr>
    </w:p>
    <w:p>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（一）竞争性比选报价函（格式）</w:t>
      </w:r>
    </w:p>
    <w:p>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比选代理机构</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我方收到____________________________（项目名称）的竞争性比选文件，经详细研究，决定参加该项目的比选。</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1.愿意按照竞争性比选文件中的一切要求，提供本项目</w:t>
      </w:r>
      <w:r>
        <w:rPr>
          <w:rFonts w:hint="eastAsia" w:asciiTheme="minorEastAsia" w:hAnsiTheme="minorEastAsia" w:eastAsiaTheme="minorEastAsia" w:cstheme="minorEastAsia"/>
          <w:color w:val="auto"/>
          <w:sz w:val="24"/>
          <w:szCs w:val="24"/>
          <w:highlight w:val="none"/>
          <w:lang w:val="en-US" w:eastAsia="zh-CN"/>
        </w:rPr>
        <w:t>所要求的</w:t>
      </w:r>
      <w:r>
        <w:rPr>
          <w:rFonts w:hint="eastAsia" w:asciiTheme="minorEastAsia" w:hAnsiTheme="minorEastAsia" w:eastAsiaTheme="minorEastAsia" w:cstheme="minorEastAsia"/>
          <w:color w:val="auto"/>
          <w:sz w:val="24"/>
          <w:szCs w:val="24"/>
          <w:highlight w:val="none"/>
        </w:rPr>
        <w:t>服务，比选</w:t>
      </w:r>
      <w:r>
        <w:rPr>
          <w:rFonts w:hint="eastAsia" w:asciiTheme="minorEastAsia" w:hAnsiTheme="minorEastAsia" w:eastAsiaTheme="minorEastAsia" w:cstheme="minorEastAsia"/>
          <w:b w:val="0"/>
          <w:bCs w:val="0"/>
          <w:color w:val="auto"/>
          <w:sz w:val="24"/>
          <w:szCs w:val="24"/>
          <w:highlight w:val="none"/>
        </w:rPr>
        <w:t>报价</w:t>
      </w:r>
      <w:r>
        <w:rPr>
          <w:rFonts w:hint="eastAsia" w:asciiTheme="minorEastAsia" w:hAnsiTheme="minorEastAsia" w:eastAsiaTheme="minorEastAsia" w:cstheme="minorEastAsia"/>
          <w:color w:val="auto"/>
          <w:sz w:val="24"/>
          <w:szCs w:val="24"/>
          <w:highlight w:val="none"/>
        </w:rPr>
        <w:t>为人民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元</w:t>
      </w:r>
      <w:r>
        <w:rPr>
          <w:rFonts w:hint="eastAsia" w:asciiTheme="minorEastAsia" w:hAnsiTheme="minorEastAsia" w:eastAsiaTheme="minorEastAsia" w:cstheme="minorEastAsia"/>
          <w:color w:val="auto"/>
          <w:sz w:val="24"/>
          <w:szCs w:val="24"/>
          <w:highlight w:val="none"/>
          <w:u w:val="none"/>
          <w:lang w:val="en-US" w:eastAsia="zh-CN"/>
        </w:rPr>
        <w:t xml:space="preserve">/年 </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u w:val="single"/>
          <w:lang w:val="en-US" w:eastAsia="zh-CN"/>
        </w:rPr>
        <w:t>每年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）。我方比选报价为闭口价。即在比选有效期和合同有效期内，该报价固定不变。</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电子文档</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份</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的有效期为提交响应文件截止时间起90天。</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4.我方完全理解和接受贵方竞争性比选文件的一切规定和要求及评审办法。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5.在整个竞争性比选过程中，我方若有违规行为，接受按照《中华人民共和国政府采购法》和本项目《竞争性比选文件》之规定给予惩罚。</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，将按照成交结果签订合同，并且严格履行合同义务。本承诺函将成为合同不可分割的一部分，与合同具有同等的法律效力。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，保证在接到成交通知书后，向</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竞争性比选文件规定的采购代理服务费。</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pStyle w:val="22"/>
        <w:rPr>
          <w:rFonts w:hint="eastAsia" w:asciiTheme="minorEastAsia" w:hAnsiTheme="minorEastAsia" w:eastAsiaTheme="minorEastAsia" w:cstheme="minorEastAsia"/>
          <w:color w:val="auto"/>
          <w:sz w:val="24"/>
          <w:szCs w:val="24"/>
          <w:highlight w:val="none"/>
        </w:rPr>
      </w:pPr>
    </w:p>
    <w:p>
      <w:pPr>
        <w:pStyle w:val="82"/>
        <w:rPr>
          <w:rFonts w:hint="eastAsia" w:asciiTheme="minorEastAsia" w:hAnsiTheme="minorEastAsia" w:eastAsiaTheme="minorEastAsia" w:cstheme="minorEastAsia"/>
          <w:color w:val="auto"/>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51" w:name="_Toc342913420"/>
      <w:bookmarkEnd w:id="251"/>
      <w:bookmarkStart w:id="252" w:name="_Toc29766"/>
      <w:bookmarkEnd w:id="252"/>
      <w:bookmarkStart w:id="253" w:name="_Toc76462351"/>
      <w:bookmarkEnd w:id="253"/>
      <w:bookmarkStart w:id="254" w:name="_Toc313888361"/>
      <w:bookmarkEnd w:id="254"/>
      <w:bookmarkStart w:id="255" w:name="_Toc106030907"/>
      <w:bookmarkEnd w:id="255"/>
      <w:bookmarkStart w:id="256" w:name="_Toc313008357"/>
      <w:bookmarkEnd w:id="256"/>
      <w:bookmarkStart w:id="257" w:name="_Toc32546"/>
      <w:bookmarkStart w:id="258" w:name="_Toc2697"/>
      <w:bookmarkStart w:id="259" w:name="_Toc12737"/>
      <w:r>
        <w:rPr>
          <w:rFonts w:hint="eastAsia" w:asciiTheme="minorEastAsia" w:hAnsiTheme="minorEastAsia" w:eastAsiaTheme="minorEastAsia" w:cstheme="minorEastAsia"/>
          <w:color w:val="auto"/>
          <w:sz w:val="24"/>
          <w:highlight w:val="none"/>
        </w:rPr>
        <w:t>二、服务部分</w:t>
      </w:r>
      <w:bookmarkEnd w:id="257"/>
      <w:bookmarkEnd w:id="258"/>
      <w:bookmarkEnd w:id="259"/>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（一）服务方案自行编制</w:t>
      </w:r>
      <w:bookmarkStart w:id="260" w:name="_Toc313008358"/>
      <w:bookmarkEnd w:id="260"/>
      <w:bookmarkStart w:id="261" w:name="_Toc342913421"/>
      <w:bookmarkEnd w:id="261"/>
      <w:bookmarkStart w:id="262" w:name="_Toc106030908"/>
      <w:bookmarkEnd w:id="262"/>
      <w:bookmarkStart w:id="263" w:name="_Toc313888362"/>
      <w:bookmarkEnd w:id="263"/>
      <w:bookmarkStart w:id="264" w:name="_Toc30533"/>
      <w:bookmarkEnd w:id="264"/>
      <w:bookmarkStart w:id="265" w:name="_Toc76462352"/>
      <w:bookmarkEnd w:id="265"/>
    </w:p>
    <w:p>
      <w:pPr>
        <w:pStyle w:val="4"/>
        <w:adjustRightInd w:val="0"/>
        <w:snapToGrid w:val="0"/>
        <w:spacing w:before="0" w:after="0" w:line="400" w:lineRule="exact"/>
        <w:ind w:firstLine="640" w:firstLineChars="200"/>
        <w:rPr>
          <w:rFonts w:hint="eastAsia" w:asciiTheme="minorEastAsia" w:hAnsiTheme="minorEastAsia" w:eastAsiaTheme="minorEastAsia" w:cstheme="minorEastAsia"/>
          <w:b w:val="0"/>
          <w:color w:val="auto"/>
          <w:highlight w:val="none"/>
        </w:rPr>
      </w:pPr>
    </w:p>
    <w:p>
      <w:pPr>
        <w:pStyle w:val="4"/>
        <w:adjustRightInd w:val="0"/>
        <w:snapToGrid w:val="0"/>
        <w:spacing w:before="0" w:after="0" w:line="400" w:lineRule="exact"/>
        <w:ind w:firstLine="640" w:firstLineChars="200"/>
        <w:rPr>
          <w:rFonts w:hint="eastAsia" w:asciiTheme="minorEastAsia" w:hAnsiTheme="minorEastAsia" w:eastAsiaTheme="minorEastAsia" w:cstheme="minorEastAsia"/>
          <w:b w:val="0"/>
          <w:color w:val="auto"/>
          <w:highlight w:val="none"/>
        </w:rPr>
      </w:pPr>
    </w:p>
    <w:p>
      <w:pPr>
        <w:adjustRightInd w:val="0"/>
        <w:snapToGrid w:val="0"/>
        <w:spacing w:line="40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（二）服务条款响应</w:t>
      </w:r>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844"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采购需求</w:t>
            </w:r>
          </w:p>
        </w:tc>
        <w:tc>
          <w:tcPr>
            <w:tcW w:w="2952"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响应情况</w:t>
            </w:r>
          </w:p>
        </w:tc>
        <w:tc>
          <w:tcPr>
            <w:tcW w:w="2212"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提醒：具体内容以及具体内容的位置（页码）</w:t>
            </w: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bl>
    <w:p>
      <w:pPr>
        <w:rPr>
          <w:rFonts w:hint="eastAsia" w:asciiTheme="minorEastAsia" w:hAnsiTheme="minorEastAsia" w:eastAsiaTheme="minorEastAsia" w:cstheme="minorEastAsia"/>
          <w:color w:val="auto"/>
          <w:highlight w:val="none"/>
        </w:rPr>
      </w:pPr>
    </w:p>
    <w:p>
      <w:pP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w:t>
      </w:r>
    </w:p>
    <w:p>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16"/>
          <w:highlight w:val="none"/>
        </w:rPr>
        <w:t xml:space="preserve"> </w:t>
      </w:r>
      <w:bookmarkStart w:id="266" w:name="_Toc29373"/>
      <w:r>
        <w:rPr>
          <w:rFonts w:hint="eastAsia" w:asciiTheme="minorEastAsia" w:hAnsiTheme="minorEastAsia" w:eastAsiaTheme="minorEastAsia" w:cstheme="minorEastAsia"/>
          <w:bCs/>
          <w:color w:val="auto"/>
          <w:sz w:val="24"/>
          <w:szCs w:val="16"/>
          <w:highlight w:val="none"/>
        </w:rPr>
        <w:t>年     月     日</w:t>
      </w:r>
      <w:bookmarkEnd w:id="266"/>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1.本表即为对本项目“第二篇项目服务需求”中所列条款进行比较和响应；</w:t>
      </w:r>
    </w:p>
    <w:p>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2.本表可扩展。</w:t>
      </w: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宋体" w:hAnsi="宋体" w:eastAsia="宋体" w:cs="宋体"/>
          <w:color w:val="auto"/>
          <w:sz w:val="24"/>
          <w:szCs w:val="24"/>
          <w:highlight w:val="none"/>
        </w:rPr>
        <w:t>其他</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8"/>
          <w:highlight w:val="none"/>
          <w:lang w:eastAsia="zh-CN"/>
        </w:rPr>
        <w:t>（格式自拟）</w:t>
      </w:r>
    </w:p>
    <w:p>
      <w:pPr>
        <w:rPr>
          <w:rFonts w:hint="eastAsia" w:asciiTheme="minorEastAsia" w:hAnsiTheme="minorEastAsia" w:eastAsiaTheme="minorEastAsia" w:cstheme="minorEastAsia"/>
          <w:color w:val="auto"/>
          <w:sz w:val="24"/>
          <w:szCs w:val="24"/>
          <w:highlight w:val="none"/>
        </w:rPr>
      </w:pPr>
    </w:p>
    <w:p>
      <w:pPr>
        <w:pStyle w:val="4"/>
        <w:numPr>
          <w:ilvl w:val="-1"/>
          <w:numId w:val="0"/>
        </w:numPr>
        <w:adjustRightInd w:val="0"/>
        <w:snapToGrid w:val="0"/>
        <w:spacing w:before="0" w:after="0" w:line="400" w:lineRule="exact"/>
        <w:ind w:firstLine="480" w:firstLineChars="20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1.充电主机AC-DC总功率480KW(单模块120KW)并具备可升级能力，DC-DC总功率600KW(单模块60KW),模块为全液冷并具备带液运输特性（供应商须提供第三方的质检报告复印件，并加盖供应商公章）</w:t>
      </w:r>
    </w:p>
    <w:p>
      <w:pPr>
        <w:pStyle w:val="4"/>
        <w:numPr>
          <w:ilvl w:val="-1"/>
          <w:numId w:val="0"/>
        </w:numPr>
        <w:adjustRightInd w:val="0"/>
        <w:snapToGrid w:val="0"/>
        <w:spacing w:before="0" w:after="0" w:line="400" w:lineRule="exact"/>
        <w:ind w:firstLine="480" w:firstLineChars="200"/>
        <w:rPr>
          <w:rFonts w:hint="eastAsia" w:ascii="宋体" w:hAnsi="宋体" w:eastAsia="宋体" w:cs="宋体"/>
          <w:b w:val="0"/>
          <w:bCs w:val="0"/>
          <w:color w:val="auto"/>
          <w:sz w:val="24"/>
          <w:szCs w:val="24"/>
          <w:highlight w:val="none"/>
          <w:vertAlign w:val="baseline"/>
          <w:lang w:val="en-US" w:eastAsia="zh-CN"/>
        </w:rPr>
      </w:pPr>
    </w:p>
    <w:p>
      <w:pPr>
        <w:pStyle w:val="4"/>
        <w:numPr>
          <w:ilvl w:val="-1"/>
          <w:numId w:val="0"/>
        </w:numPr>
        <w:adjustRightInd w:val="0"/>
        <w:snapToGrid w:val="0"/>
        <w:spacing w:before="0" w:after="0" w:line="400" w:lineRule="exact"/>
        <w:ind w:firstLine="480" w:firstLineChars="200"/>
        <w:rPr>
          <w:rFonts w:hint="eastAsia" w:ascii="宋体" w:hAnsi="宋体" w:eastAsia="宋体" w:cs="宋体"/>
          <w:b w:val="0"/>
          <w:bCs w:val="0"/>
          <w:color w:val="auto"/>
          <w:sz w:val="24"/>
          <w:szCs w:val="24"/>
          <w:highlight w:val="none"/>
          <w:vertAlign w:val="baseline"/>
          <w:lang w:val="en-US" w:eastAsia="zh-CN"/>
        </w:rPr>
      </w:pPr>
    </w:p>
    <w:p>
      <w:pPr>
        <w:pStyle w:val="4"/>
        <w:numPr>
          <w:ilvl w:val="-1"/>
          <w:numId w:val="0"/>
        </w:numPr>
        <w:adjustRightInd w:val="0"/>
        <w:snapToGrid w:val="0"/>
        <w:spacing w:before="0" w:after="0"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eastAsia="宋体" w:cs="宋体"/>
          <w:b w:val="0"/>
          <w:bCs w:val="0"/>
          <w:color w:val="auto"/>
          <w:sz w:val="24"/>
          <w:szCs w:val="24"/>
          <w:highlight w:val="none"/>
          <w:vertAlign w:val="baseline"/>
          <w:lang w:val="en-US" w:eastAsia="zh-CN"/>
        </w:rPr>
        <w:t>2.供应商提供拟使用的设备品牌、规格、数量，并加盖供应商公章。</w:t>
      </w:r>
      <w:r>
        <w:rPr>
          <w:rFonts w:hint="eastAsia" w:asciiTheme="minorEastAsia" w:hAnsiTheme="minorEastAsia" w:eastAsiaTheme="minorEastAsia" w:cstheme="minorEastAsia"/>
          <w:b w:val="0"/>
          <w:color w:val="auto"/>
          <w:highlight w:val="none"/>
        </w:rPr>
        <w:br w:type="page"/>
      </w:r>
      <w:bookmarkStart w:id="267" w:name="_Toc16652"/>
      <w:bookmarkStart w:id="268" w:name="_Toc10532"/>
      <w:bookmarkStart w:id="269" w:name="_Toc25678"/>
      <w:r>
        <w:rPr>
          <w:rFonts w:hint="eastAsia" w:asciiTheme="minorEastAsia" w:hAnsiTheme="minorEastAsia" w:eastAsiaTheme="minorEastAsia" w:cstheme="minorEastAsia"/>
          <w:color w:val="auto"/>
          <w:sz w:val="24"/>
          <w:highlight w:val="none"/>
        </w:rPr>
        <w:t>三、商务部分</w:t>
      </w:r>
      <w:bookmarkEnd w:id="267"/>
      <w:bookmarkEnd w:id="268"/>
      <w:bookmarkEnd w:id="269"/>
    </w:p>
    <w:p>
      <w:pPr>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bookmarkStart w:id="270" w:name="_Toc283382459"/>
      <w:r>
        <w:rPr>
          <w:rFonts w:hint="eastAsia" w:asciiTheme="minorEastAsia" w:hAnsiTheme="minorEastAsia" w:eastAsiaTheme="minorEastAsia" w:cstheme="minorEastAsia"/>
          <w:color w:val="auto"/>
          <w:sz w:val="24"/>
          <w:szCs w:val="24"/>
          <w:highlight w:val="none"/>
        </w:rPr>
        <w:t>（一）商务条款响应</w:t>
      </w: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844"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采购需求</w:t>
            </w:r>
          </w:p>
        </w:tc>
        <w:tc>
          <w:tcPr>
            <w:tcW w:w="2952"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响应情况</w:t>
            </w:r>
          </w:p>
        </w:tc>
        <w:tc>
          <w:tcPr>
            <w:tcW w:w="2212"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提醒：具体内容以及具体内容的位置（页码）</w:t>
            </w: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bl>
    <w:p>
      <w:pP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w:t>
      </w:r>
    </w:p>
    <w:p>
      <w:pPr>
        <w:spacing w:line="500" w:lineRule="exact"/>
        <w:rPr>
          <w:rFonts w:hint="eastAsia" w:asciiTheme="minorEastAsia" w:hAnsiTheme="minorEastAsia" w:eastAsiaTheme="minorEastAsia" w:cstheme="minorEastAsia"/>
          <w:color w:val="auto"/>
          <w:sz w:val="24"/>
          <w:szCs w:val="24"/>
          <w:highlight w:val="none"/>
        </w:rPr>
      </w:pPr>
    </w:p>
    <w:p>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pPr>
        <w:spacing w:line="5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1.本表即为对本项目“第三篇项目商务需求”中所列条款进行比较和响应；</w:t>
      </w:r>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2.本表可扩展。</w:t>
      </w:r>
      <w:r>
        <w:rPr>
          <w:rFonts w:hint="eastAsia" w:asciiTheme="minorEastAsia" w:hAnsiTheme="minorEastAsia" w:eastAsiaTheme="minorEastAsia" w:cstheme="minorEastAsia"/>
          <w:color w:val="auto"/>
          <w:sz w:val="24"/>
          <w:szCs w:val="24"/>
          <w:highlight w:val="none"/>
        </w:rPr>
        <w:br w:type="page"/>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（二）其它商务评审资料或承诺（自附）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270"/>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71" w:name="_Toc28692"/>
      <w:bookmarkEnd w:id="271"/>
      <w:bookmarkStart w:id="272" w:name="_Toc106030909"/>
      <w:bookmarkEnd w:id="272"/>
      <w:bookmarkStart w:id="273" w:name="_Toc313008359"/>
      <w:bookmarkEnd w:id="273"/>
      <w:bookmarkStart w:id="274" w:name="_Toc76462353"/>
      <w:bookmarkEnd w:id="274"/>
      <w:bookmarkStart w:id="275" w:name="_Toc313888363"/>
      <w:bookmarkEnd w:id="275"/>
      <w:bookmarkStart w:id="276" w:name="_Toc342913422"/>
      <w:bookmarkEnd w:id="276"/>
      <w:r>
        <w:rPr>
          <w:rFonts w:hint="eastAsia" w:asciiTheme="minorEastAsia" w:hAnsiTheme="minorEastAsia" w:eastAsiaTheme="minorEastAsia" w:cstheme="minorEastAsia"/>
          <w:color w:val="auto"/>
          <w:sz w:val="24"/>
          <w:szCs w:val="24"/>
          <w:highlight w:val="none"/>
        </w:rPr>
        <w:br w:type="page"/>
      </w:r>
      <w:bookmarkStart w:id="277" w:name="_Toc23338"/>
      <w:bookmarkStart w:id="278" w:name="_Toc8039"/>
      <w:bookmarkStart w:id="279" w:name="_Toc17631"/>
      <w:r>
        <w:rPr>
          <w:rFonts w:hint="eastAsia" w:asciiTheme="minorEastAsia" w:hAnsiTheme="minorEastAsia" w:eastAsiaTheme="minorEastAsia" w:cstheme="minorEastAsia"/>
          <w:color w:val="auto"/>
          <w:sz w:val="24"/>
          <w:highlight w:val="none"/>
        </w:rPr>
        <w:t>四、资格条件</w:t>
      </w:r>
      <w:bookmarkEnd w:id="277"/>
      <w:bookmarkEnd w:id="278"/>
      <w:bookmarkEnd w:id="279"/>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名称）：</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1.若为法定代表人办理并签署响应文件的，不提供此文件。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项目评审（评标）环节结束后，随时接受</w:t>
      </w:r>
      <w:r>
        <w:rPr>
          <w:rFonts w:hint="eastAsia" w:asciiTheme="minorEastAsia" w:hAnsiTheme="minorEastAsia" w:eastAsiaTheme="minorEastAsia" w:cstheme="minorEastAsia"/>
          <w:color w:val="auto"/>
          <w:sz w:val="24"/>
          <w:highlight w:val="none"/>
          <w:lang w:eastAsia="zh-CN"/>
        </w:rPr>
        <w:t>比选人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80" w:name="_Toc14422"/>
      <w:bookmarkEnd w:id="280"/>
      <w:bookmarkStart w:id="281" w:name="_Toc106030910"/>
      <w:bookmarkEnd w:id="281"/>
      <w:bookmarkStart w:id="282" w:name="_Toc76462354"/>
      <w:bookmarkEnd w:id="282"/>
      <w:bookmarkStart w:id="283" w:name="_Toc7667"/>
      <w:bookmarkEnd w:id="283"/>
      <w:bookmarkStart w:id="284" w:name="_Toc27884"/>
      <w:bookmarkStart w:id="285" w:name="_Toc18881"/>
      <w:bookmarkStart w:id="286" w:name="_Toc13702"/>
      <w:r>
        <w:rPr>
          <w:rFonts w:hint="eastAsia" w:asciiTheme="minorEastAsia" w:hAnsiTheme="minorEastAsia" w:eastAsiaTheme="minorEastAsia" w:cstheme="minorEastAsia"/>
          <w:color w:val="auto"/>
          <w:sz w:val="24"/>
          <w:highlight w:val="none"/>
        </w:rPr>
        <w:t>五、其他资料</w:t>
      </w:r>
      <w:bookmarkEnd w:id="284"/>
      <w:bookmarkEnd w:id="285"/>
      <w:bookmarkEnd w:id="286"/>
    </w:p>
    <w:p>
      <w:pP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其他与项目有关的资料（自附）</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s="宋体"/>
          <w:sz w:val="24"/>
          <w:szCs w:val="24"/>
          <w:highlight w:val="none"/>
        </w:rPr>
        <w:t>供应商总体情况介绍、</w:t>
      </w:r>
      <w:r>
        <w:rPr>
          <w:rFonts w:hint="eastAsia" w:ascii="宋体" w:hAnsi="宋体" w:cs="宋体"/>
          <w:sz w:val="24"/>
          <w:szCs w:val="24"/>
          <w:highlight w:val="none"/>
          <w:lang w:val="en-US" w:eastAsia="zh-CN"/>
        </w:rPr>
        <w:t>信用中国企业报告、</w:t>
      </w:r>
      <w:r>
        <w:rPr>
          <w:rFonts w:hint="eastAsia" w:ascii="宋体" w:hAnsi="宋体" w:cs="宋体"/>
          <w:sz w:val="24"/>
          <w:szCs w:val="24"/>
          <w:highlight w:val="none"/>
        </w:rPr>
        <w:t>其他与本项目有关的资料等</w:t>
      </w: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highlight w:val="none"/>
        </w:rPr>
      </w:pPr>
    </w:p>
    <w:p>
      <w:pPr>
        <w:spacing w:line="360" w:lineRule="auto"/>
        <w:ind w:firstLine="480" w:firstLineChars="200"/>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（结束）</w:t>
      </w:r>
    </w:p>
    <w:p>
      <w:pPr>
        <w:rPr>
          <w:rFonts w:hint="eastAsia" w:asciiTheme="minorEastAsia" w:hAnsiTheme="minorEastAsia" w:eastAsiaTheme="minorEastAsia" w:cstheme="minorEastAsia"/>
          <w:color w:val="auto"/>
          <w:sz w:val="24"/>
          <w:szCs w:val="24"/>
          <w:highlight w:val="none"/>
        </w:rPr>
      </w:pPr>
    </w:p>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1" w:fontKey="{155AD3EC-6826-4B5B-8C05-06B260DA01DD}"/>
  </w:font>
  <w:font w:name="微软雅黑">
    <w:panose1 w:val="020B0503020204020204"/>
    <w:charset w:val="86"/>
    <w:family w:val="auto"/>
    <w:pitch w:val="default"/>
    <w:sig w:usb0="80000287" w:usb1="2ACF3C50" w:usb2="00000016" w:usb3="00000000" w:csb0="0004001F" w:csb1="00000000"/>
    <w:embedRegular r:id="rId2" w:fontKey="{0C8FD7B8-AE85-427A-B6D2-E406B8AD44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r>
      <w:fldChar w:fldCharType="begin"/>
    </w:r>
    <w:r>
      <w:rPr>
        <w:rStyle w:val="64"/>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3" w:lineRule="auto"/>
      <w:ind w:left="1"/>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9"/>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6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0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46"/>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41E025A"/>
    <w:multiLevelType w:val="multilevel"/>
    <w:tmpl w:val="141E025A"/>
    <w:lvl w:ilvl="0" w:tentative="0">
      <w:start w:val="1"/>
      <w:numFmt w:val="decimal"/>
      <w:suff w:val="nothing"/>
      <w:lvlText w:val="%1"/>
      <w:lvlJc w:val="center"/>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ZTZlOTk5MGMzZWJkNTJhM2Y2M2Q3OTQ2YmVlMzQifQ=="/>
    <w:docVar w:name="KSO_WPS_MARK_KEY" w:val="99f1670f-16cf-40a7-8b3b-fd64ee338d96"/>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1B9"/>
    <w:rsid w:val="00061A7C"/>
    <w:rsid w:val="00063981"/>
    <w:rsid w:val="00074C38"/>
    <w:rsid w:val="000816AD"/>
    <w:rsid w:val="00082CC1"/>
    <w:rsid w:val="00090C5A"/>
    <w:rsid w:val="00091B1C"/>
    <w:rsid w:val="00091D22"/>
    <w:rsid w:val="0009494A"/>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20F"/>
    <w:rsid w:val="000E5AB0"/>
    <w:rsid w:val="000F302A"/>
    <w:rsid w:val="000F3D5B"/>
    <w:rsid w:val="000F64D7"/>
    <w:rsid w:val="000F7DBF"/>
    <w:rsid w:val="0010014A"/>
    <w:rsid w:val="00100639"/>
    <w:rsid w:val="0010088E"/>
    <w:rsid w:val="001028FD"/>
    <w:rsid w:val="00105638"/>
    <w:rsid w:val="0010716D"/>
    <w:rsid w:val="001125CE"/>
    <w:rsid w:val="001140DC"/>
    <w:rsid w:val="00114CFE"/>
    <w:rsid w:val="00115337"/>
    <w:rsid w:val="001166B8"/>
    <w:rsid w:val="0011683E"/>
    <w:rsid w:val="00116856"/>
    <w:rsid w:val="00116C42"/>
    <w:rsid w:val="0011780F"/>
    <w:rsid w:val="00117B26"/>
    <w:rsid w:val="00120259"/>
    <w:rsid w:val="00122F9D"/>
    <w:rsid w:val="0012452F"/>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55A1D"/>
    <w:rsid w:val="00156899"/>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6ADA"/>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073D"/>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52C8"/>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B621C"/>
    <w:rsid w:val="003D0E0A"/>
    <w:rsid w:val="003D3B22"/>
    <w:rsid w:val="003D7B3D"/>
    <w:rsid w:val="003E0348"/>
    <w:rsid w:val="003F3DB1"/>
    <w:rsid w:val="003F451E"/>
    <w:rsid w:val="003F4939"/>
    <w:rsid w:val="003F626F"/>
    <w:rsid w:val="003F6794"/>
    <w:rsid w:val="00402B32"/>
    <w:rsid w:val="00404E11"/>
    <w:rsid w:val="0040519F"/>
    <w:rsid w:val="0040781E"/>
    <w:rsid w:val="00410C93"/>
    <w:rsid w:val="004110DA"/>
    <w:rsid w:val="004115FB"/>
    <w:rsid w:val="00411B4A"/>
    <w:rsid w:val="004134DD"/>
    <w:rsid w:val="004148C8"/>
    <w:rsid w:val="00417E99"/>
    <w:rsid w:val="00421507"/>
    <w:rsid w:val="00424D02"/>
    <w:rsid w:val="0042525A"/>
    <w:rsid w:val="004260F1"/>
    <w:rsid w:val="0042733C"/>
    <w:rsid w:val="0044185A"/>
    <w:rsid w:val="0044193A"/>
    <w:rsid w:val="004508D7"/>
    <w:rsid w:val="00453B8F"/>
    <w:rsid w:val="004556B7"/>
    <w:rsid w:val="00460489"/>
    <w:rsid w:val="004608C7"/>
    <w:rsid w:val="00462878"/>
    <w:rsid w:val="00465B7A"/>
    <w:rsid w:val="00471121"/>
    <w:rsid w:val="00472AA2"/>
    <w:rsid w:val="00473B39"/>
    <w:rsid w:val="00474175"/>
    <w:rsid w:val="004751FC"/>
    <w:rsid w:val="00481309"/>
    <w:rsid w:val="00485B7C"/>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2A66"/>
    <w:rsid w:val="004D433D"/>
    <w:rsid w:val="004D4410"/>
    <w:rsid w:val="004E156F"/>
    <w:rsid w:val="004E2F88"/>
    <w:rsid w:val="004E550E"/>
    <w:rsid w:val="004E55DB"/>
    <w:rsid w:val="004E67C6"/>
    <w:rsid w:val="004F5959"/>
    <w:rsid w:val="004F670C"/>
    <w:rsid w:val="004F6D5A"/>
    <w:rsid w:val="00502B2F"/>
    <w:rsid w:val="00512D00"/>
    <w:rsid w:val="00512D44"/>
    <w:rsid w:val="00514179"/>
    <w:rsid w:val="00516243"/>
    <w:rsid w:val="005164D4"/>
    <w:rsid w:val="00533179"/>
    <w:rsid w:val="005406A0"/>
    <w:rsid w:val="00540E03"/>
    <w:rsid w:val="00541D5F"/>
    <w:rsid w:val="00544BEA"/>
    <w:rsid w:val="005460D5"/>
    <w:rsid w:val="00553CF0"/>
    <w:rsid w:val="00557C75"/>
    <w:rsid w:val="00566A85"/>
    <w:rsid w:val="00570C78"/>
    <w:rsid w:val="00573AE3"/>
    <w:rsid w:val="005747D1"/>
    <w:rsid w:val="00581EF9"/>
    <w:rsid w:val="00583690"/>
    <w:rsid w:val="005902D9"/>
    <w:rsid w:val="0059075F"/>
    <w:rsid w:val="00596AB7"/>
    <w:rsid w:val="005A1B5C"/>
    <w:rsid w:val="005A1EA7"/>
    <w:rsid w:val="005A2B3C"/>
    <w:rsid w:val="005A6A12"/>
    <w:rsid w:val="005B0724"/>
    <w:rsid w:val="005B1E46"/>
    <w:rsid w:val="005B5AA4"/>
    <w:rsid w:val="005C3F4B"/>
    <w:rsid w:val="005C42AC"/>
    <w:rsid w:val="005C4F84"/>
    <w:rsid w:val="005D2EC6"/>
    <w:rsid w:val="005D37D0"/>
    <w:rsid w:val="005D41E8"/>
    <w:rsid w:val="005D703E"/>
    <w:rsid w:val="005E35E9"/>
    <w:rsid w:val="005E4DB8"/>
    <w:rsid w:val="005E5525"/>
    <w:rsid w:val="005F38BB"/>
    <w:rsid w:val="005F7895"/>
    <w:rsid w:val="0060003E"/>
    <w:rsid w:val="00602BBE"/>
    <w:rsid w:val="0060315D"/>
    <w:rsid w:val="00610C85"/>
    <w:rsid w:val="00613410"/>
    <w:rsid w:val="00617986"/>
    <w:rsid w:val="006256CA"/>
    <w:rsid w:val="00625BD5"/>
    <w:rsid w:val="00627729"/>
    <w:rsid w:val="00627F21"/>
    <w:rsid w:val="0063025A"/>
    <w:rsid w:val="0064583B"/>
    <w:rsid w:val="006468B8"/>
    <w:rsid w:val="00651127"/>
    <w:rsid w:val="0065190C"/>
    <w:rsid w:val="006542F1"/>
    <w:rsid w:val="00654A48"/>
    <w:rsid w:val="0065651B"/>
    <w:rsid w:val="006602C8"/>
    <w:rsid w:val="00664607"/>
    <w:rsid w:val="00665941"/>
    <w:rsid w:val="0066755F"/>
    <w:rsid w:val="00670089"/>
    <w:rsid w:val="00670C89"/>
    <w:rsid w:val="00671233"/>
    <w:rsid w:val="0067607E"/>
    <w:rsid w:val="006763DC"/>
    <w:rsid w:val="006765A1"/>
    <w:rsid w:val="00680AE4"/>
    <w:rsid w:val="00682205"/>
    <w:rsid w:val="006822B0"/>
    <w:rsid w:val="00684E51"/>
    <w:rsid w:val="0068793C"/>
    <w:rsid w:val="00693AFD"/>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2326"/>
    <w:rsid w:val="00703E07"/>
    <w:rsid w:val="00704E5D"/>
    <w:rsid w:val="00705739"/>
    <w:rsid w:val="00705B1A"/>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51B13"/>
    <w:rsid w:val="00762B70"/>
    <w:rsid w:val="007636FE"/>
    <w:rsid w:val="00766091"/>
    <w:rsid w:val="0077408E"/>
    <w:rsid w:val="00780577"/>
    <w:rsid w:val="00781AD3"/>
    <w:rsid w:val="00781BFB"/>
    <w:rsid w:val="007867EC"/>
    <w:rsid w:val="00786FA7"/>
    <w:rsid w:val="0079177C"/>
    <w:rsid w:val="00791CA6"/>
    <w:rsid w:val="00792353"/>
    <w:rsid w:val="00794382"/>
    <w:rsid w:val="007959AC"/>
    <w:rsid w:val="00796323"/>
    <w:rsid w:val="007A20E0"/>
    <w:rsid w:val="007B2204"/>
    <w:rsid w:val="007B4B60"/>
    <w:rsid w:val="007B7278"/>
    <w:rsid w:val="007C1691"/>
    <w:rsid w:val="007C6B0F"/>
    <w:rsid w:val="007D0625"/>
    <w:rsid w:val="007D167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45343"/>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23CD"/>
    <w:rsid w:val="008A4D88"/>
    <w:rsid w:val="008B25E8"/>
    <w:rsid w:val="008C1B22"/>
    <w:rsid w:val="008C4C84"/>
    <w:rsid w:val="008C510F"/>
    <w:rsid w:val="008D067F"/>
    <w:rsid w:val="008D3283"/>
    <w:rsid w:val="008E437B"/>
    <w:rsid w:val="008E4D3F"/>
    <w:rsid w:val="008E66B8"/>
    <w:rsid w:val="008F0A2E"/>
    <w:rsid w:val="008F12A2"/>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29C"/>
    <w:rsid w:val="00962BF1"/>
    <w:rsid w:val="00963237"/>
    <w:rsid w:val="00966820"/>
    <w:rsid w:val="00966FC7"/>
    <w:rsid w:val="00971E57"/>
    <w:rsid w:val="009723CF"/>
    <w:rsid w:val="00972F46"/>
    <w:rsid w:val="00973D3A"/>
    <w:rsid w:val="009741DC"/>
    <w:rsid w:val="0097652A"/>
    <w:rsid w:val="00980037"/>
    <w:rsid w:val="00983B43"/>
    <w:rsid w:val="00984742"/>
    <w:rsid w:val="0099161D"/>
    <w:rsid w:val="00991B37"/>
    <w:rsid w:val="009B6208"/>
    <w:rsid w:val="009B71FF"/>
    <w:rsid w:val="009C2A40"/>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5AE6"/>
    <w:rsid w:val="00A06013"/>
    <w:rsid w:val="00A104A7"/>
    <w:rsid w:val="00A12904"/>
    <w:rsid w:val="00A15FBF"/>
    <w:rsid w:val="00A1616D"/>
    <w:rsid w:val="00A1783B"/>
    <w:rsid w:val="00A22333"/>
    <w:rsid w:val="00A224AC"/>
    <w:rsid w:val="00A26FF7"/>
    <w:rsid w:val="00A27159"/>
    <w:rsid w:val="00A37A20"/>
    <w:rsid w:val="00A445DC"/>
    <w:rsid w:val="00A44BEA"/>
    <w:rsid w:val="00A47C22"/>
    <w:rsid w:val="00A55B14"/>
    <w:rsid w:val="00A5689C"/>
    <w:rsid w:val="00A569E8"/>
    <w:rsid w:val="00A57FAF"/>
    <w:rsid w:val="00A601C4"/>
    <w:rsid w:val="00A604FA"/>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6F"/>
    <w:rsid w:val="00B229A5"/>
    <w:rsid w:val="00B2488E"/>
    <w:rsid w:val="00B25998"/>
    <w:rsid w:val="00B25EB3"/>
    <w:rsid w:val="00B42056"/>
    <w:rsid w:val="00B478C3"/>
    <w:rsid w:val="00B52715"/>
    <w:rsid w:val="00B5332B"/>
    <w:rsid w:val="00B61348"/>
    <w:rsid w:val="00B6263F"/>
    <w:rsid w:val="00B67114"/>
    <w:rsid w:val="00B678C7"/>
    <w:rsid w:val="00B70368"/>
    <w:rsid w:val="00B7097C"/>
    <w:rsid w:val="00B72BCC"/>
    <w:rsid w:val="00B74F7A"/>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43D7"/>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1A99"/>
    <w:rsid w:val="00C62B51"/>
    <w:rsid w:val="00C65711"/>
    <w:rsid w:val="00C66460"/>
    <w:rsid w:val="00C76ECD"/>
    <w:rsid w:val="00C8221C"/>
    <w:rsid w:val="00C84B63"/>
    <w:rsid w:val="00C84E04"/>
    <w:rsid w:val="00C86DC6"/>
    <w:rsid w:val="00C910BE"/>
    <w:rsid w:val="00C922BE"/>
    <w:rsid w:val="00CA10F9"/>
    <w:rsid w:val="00CA1453"/>
    <w:rsid w:val="00CA14F4"/>
    <w:rsid w:val="00CA583F"/>
    <w:rsid w:val="00CA5844"/>
    <w:rsid w:val="00CA7415"/>
    <w:rsid w:val="00CB265C"/>
    <w:rsid w:val="00CB2BDD"/>
    <w:rsid w:val="00CB32BC"/>
    <w:rsid w:val="00CB4540"/>
    <w:rsid w:val="00CB4951"/>
    <w:rsid w:val="00CB7A07"/>
    <w:rsid w:val="00CC59BB"/>
    <w:rsid w:val="00CC610F"/>
    <w:rsid w:val="00CD1B93"/>
    <w:rsid w:val="00CD3BD4"/>
    <w:rsid w:val="00CD3CC8"/>
    <w:rsid w:val="00CD4915"/>
    <w:rsid w:val="00CD60BD"/>
    <w:rsid w:val="00CD635D"/>
    <w:rsid w:val="00CD6DEE"/>
    <w:rsid w:val="00CD7C5B"/>
    <w:rsid w:val="00CD7CED"/>
    <w:rsid w:val="00CE04C7"/>
    <w:rsid w:val="00CE2AC9"/>
    <w:rsid w:val="00CE2AFE"/>
    <w:rsid w:val="00CE7B14"/>
    <w:rsid w:val="00CF0AB3"/>
    <w:rsid w:val="00CF156B"/>
    <w:rsid w:val="00CF1E02"/>
    <w:rsid w:val="00CF4BD6"/>
    <w:rsid w:val="00CF597A"/>
    <w:rsid w:val="00D00228"/>
    <w:rsid w:val="00D00DA0"/>
    <w:rsid w:val="00D0103F"/>
    <w:rsid w:val="00D03E34"/>
    <w:rsid w:val="00D05BAA"/>
    <w:rsid w:val="00D05EFC"/>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3852"/>
    <w:rsid w:val="00D44059"/>
    <w:rsid w:val="00D4511A"/>
    <w:rsid w:val="00D510AE"/>
    <w:rsid w:val="00D51813"/>
    <w:rsid w:val="00D51F2C"/>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1848"/>
    <w:rsid w:val="00DF235C"/>
    <w:rsid w:val="00DF426D"/>
    <w:rsid w:val="00DF47D6"/>
    <w:rsid w:val="00DF4D5A"/>
    <w:rsid w:val="00DF5425"/>
    <w:rsid w:val="00DF782C"/>
    <w:rsid w:val="00DF7BC6"/>
    <w:rsid w:val="00E00813"/>
    <w:rsid w:val="00E030A0"/>
    <w:rsid w:val="00E04F16"/>
    <w:rsid w:val="00E075A1"/>
    <w:rsid w:val="00E0797A"/>
    <w:rsid w:val="00E11432"/>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46ECE"/>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E7379"/>
    <w:rsid w:val="00EF0199"/>
    <w:rsid w:val="00EF2D23"/>
    <w:rsid w:val="00EF5BBC"/>
    <w:rsid w:val="00EF5CFC"/>
    <w:rsid w:val="00F0263C"/>
    <w:rsid w:val="00F0402A"/>
    <w:rsid w:val="00F07266"/>
    <w:rsid w:val="00F15A52"/>
    <w:rsid w:val="00F16313"/>
    <w:rsid w:val="00F1700E"/>
    <w:rsid w:val="00F20820"/>
    <w:rsid w:val="00F20FF1"/>
    <w:rsid w:val="00F24317"/>
    <w:rsid w:val="00F25F5F"/>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3767"/>
    <w:rsid w:val="00FD5823"/>
    <w:rsid w:val="00FD7BE0"/>
    <w:rsid w:val="00FE1C27"/>
    <w:rsid w:val="00FE326F"/>
    <w:rsid w:val="00FE5C31"/>
    <w:rsid w:val="00FF0F20"/>
    <w:rsid w:val="00FF1B0E"/>
    <w:rsid w:val="00FF268A"/>
    <w:rsid w:val="00FF748B"/>
    <w:rsid w:val="010E1F90"/>
    <w:rsid w:val="012439C1"/>
    <w:rsid w:val="012B4701"/>
    <w:rsid w:val="014003F5"/>
    <w:rsid w:val="014A102B"/>
    <w:rsid w:val="01666735"/>
    <w:rsid w:val="016E3A01"/>
    <w:rsid w:val="01B6046E"/>
    <w:rsid w:val="01C507DC"/>
    <w:rsid w:val="01CF7782"/>
    <w:rsid w:val="01D737EA"/>
    <w:rsid w:val="01EE2BD1"/>
    <w:rsid w:val="01EE7C08"/>
    <w:rsid w:val="01F3521E"/>
    <w:rsid w:val="01FC7E27"/>
    <w:rsid w:val="020531A4"/>
    <w:rsid w:val="02105DD0"/>
    <w:rsid w:val="025B1A26"/>
    <w:rsid w:val="02AE7397"/>
    <w:rsid w:val="02CB1CF7"/>
    <w:rsid w:val="02F343D6"/>
    <w:rsid w:val="03037256"/>
    <w:rsid w:val="03526967"/>
    <w:rsid w:val="036358E3"/>
    <w:rsid w:val="039E00E0"/>
    <w:rsid w:val="03BD3D36"/>
    <w:rsid w:val="03C50E3C"/>
    <w:rsid w:val="03D119A1"/>
    <w:rsid w:val="040A2CF3"/>
    <w:rsid w:val="041457E8"/>
    <w:rsid w:val="04153F23"/>
    <w:rsid w:val="042A2A5B"/>
    <w:rsid w:val="043A57D9"/>
    <w:rsid w:val="043E138F"/>
    <w:rsid w:val="04402271"/>
    <w:rsid w:val="045559CC"/>
    <w:rsid w:val="048E4BB2"/>
    <w:rsid w:val="04CC47D2"/>
    <w:rsid w:val="04FE61EB"/>
    <w:rsid w:val="05022CF2"/>
    <w:rsid w:val="05663F59"/>
    <w:rsid w:val="05937169"/>
    <w:rsid w:val="059E36F3"/>
    <w:rsid w:val="05A97B5B"/>
    <w:rsid w:val="05B47F69"/>
    <w:rsid w:val="05C217CC"/>
    <w:rsid w:val="05CF6D44"/>
    <w:rsid w:val="05F52847"/>
    <w:rsid w:val="0636240F"/>
    <w:rsid w:val="06450013"/>
    <w:rsid w:val="065C4581"/>
    <w:rsid w:val="065D0A0A"/>
    <w:rsid w:val="066A5A55"/>
    <w:rsid w:val="067803E8"/>
    <w:rsid w:val="06826B27"/>
    <w:rsid w:val="068F292B"/>
    <w:rsid w:val="069631A7"/>
    <w:rsid w:val="069E1975"/>
    <w:rsid w:val="06D93273"/>
    <w:rsid w:val="06E92019"/>
    <w:rsid w:val="070F3095"/>
    <w:rsid w:val="07230354"/>
    <w:rsid w:val="07400F20"/>
    <w:rsid w:val="0745369D"/>
    <w:rsid w:val="07492D5E"/>
    <w:rsid w:val="07584455"/>
    <w:rsid w:val="0765771E"/>
    <w:rsid w:val="083612A8"/>
    <w:rsid w:val="08782F51"/>
    <w:rsid w:val="08942FEC"/>
    <w:rsid w:val="08E73603"/>
    <w:rsid w:val="09280DA2"/>
    <w:rsid w:val="094401F6"/>
    <w:rsid w:val="09700714"/>
    <w:rsid w:val="0993196F"/>
    <w:rsid w:val="09D26061"/>
    <w:rsid w:val="09D27E0F"/>
    <w:rsid w:val="09F4422A"/>
    <w:rsid w:val="0A790C1D"/>
    <w:rsid w:val="0A7A13B6"/>
    <w:rsid w:val="0A85030A"/>
    <w:rsid w:val="0AC179A7"/>
    <w:rsid w:val="0AD63DB2"/>
    <w:rsid w:val="0B004928"/>
    <w:rsid w:val="0B057CC3"/>
    <w:rsid w:val="0B073AE9"/>
    <w:rsid w:val="0B097DC8"/>
    <w:rsid w:val="0B281DB2"/>
    <w:rsid w:val="0B286835"/>
    <w:rsid w:val="0B392039"/>
    <w:rsid w:val="0B7D3DAB"/>
    <w:rsid w:val="0BB05E7F"/>
    <w:rsid w:val="0BBD7F27"/>
    <w:rsid w:val="0BEC2ED1"/>
    <w:rsid w:val="0C000C64"/>
    <w:rsid w:val="0C1C6869"/>
    <w:rsid w:val="0C5114BF"/>
    <w:rsid w:val="0C61547A"/>
    <w:rsid w:val="0C675B15"/>
    <w:rsid w:val="0C9E75C1"/>
    <w:rsid w:val="0CAF6E3B"/>
    <w:rsid w:val="0CB979F2"/>
    <w:rsid w:val="0CFB2CD2"/>
    <w:rsid w:val="0D1A58CE"/>
    <w:rsid w:val="0D8458C4"/>
    <w:rsid w:val="0D852AFC"/>
    <w:rsid w:val="0D97527E"/>
    <w:rsid w:val="0DAB4B9A"/>
    <w:rsid w:val="0DC82110"/>
    <w:rsid w:val="0E023C9B"/>
    <w:rsid w:val="0E274886"/>
    <w:rsid w:val="0E8536A2"/>
    <w:rsid w:val="0E941939"/>
    <w:rsid w:val="0EAD1C9D"/>
    <w:rsid w:val="0EE4486D"/>
    <w:rsid w:val="0EF22370"/>
    <w:rsid w:val="0F3D5D2B"/>
    <w:rsid w:val="0F41564B"/>
    <w:rsid w:val="0F517A28"/>
    <w:rsid w:val="0F73F1F0"/>
    <w:rsid w:val="0F875445"/>
    <w:rsid w:val="0F8F138C"/>
    <w:rsid w:val="0F990090"/>
    <w:rsid w:val="0FA61B22"/>
    <w:rsid w:val="0FA93CD9"/>
    <w:rsid w:val="0FB24129"/>
    <w:rsid w:val="0FC3607D"/>
    <w:rsid w:val="0FC958A4"/>
    <w:rsid w:val="0FCE07B5"/>
    <w:rsid w:val="0FD3043D"/>
    <w:rsid w:val="0FD6060D"/>
    <w:rsid w:val="0FEE34C9"/>
    <w:rsid w:val="1055167A"/>
    <w:rsid w:val="1057100A"/>
    <w:rsid w:val="107E65FB"/>
    <w:rsid w:val="109D1177"/>
    <w:rsid w:val="109F3AE9"/>
    <w:rsid w:val="10A6525C"/>
    <w:rsid w:val="10BF3A0D"/>
    <w:rsid w:val="10C67196"/>
    <w:rsid w:val="113D0264"/>
    <w:rsid w:val="114915F7"/>
    <w:rsid w:val="114D490E"/>
    <w:rsid w:val="11521554"/>
    <w:rsid w:val="11651A69"/>
    <w:rsid w:val="116E08FD"/>
    <w:rsid w:val="116E48C1"/>
    <w:rsid w:val="117D2D56"/>
    <w:rsid w:val="11A93906"/>
    <w:rsid w:val="11BA5AC3"/>
    <w:rsid w:val="11C95F9C"/>
    <w:rsid w:val="11ED7F46"/>
    <w:rsid w:val="120506B9"/>
    <w:rsid w:val="12064AFA"/>
    <w:rsid w:val="120D40DA"/>
    <w:rsid w:val="12333415"/>
    <w:rsid w:val="127C38CA"/>
    <w:rsid w:val="12A460C1"/>
    <w:rsid w:val="12C815A1"/>
    <w:rsid w:val="12E42DCF"/>
    <w:rsid w:val="1300779B"/>
    <w:rsid w:val="131C339B"/>
    <w:rsid w:val="13517FF7"/>
    <w:rsid w:val="13622204"/>
    <w:rsid w:val="138A4589"/>
    <w:rsid w:val="13B8757C"/>
    <w:rsid w:val="13D604FC"/>
    <w:rsid w:val="13E95FBD"/>
    <w:rsid w:val="13F448E3"/>
    <w:rsid w:val="141334FE"/>
    <w:rsid w:val="144A06F6"/>
    <w:rsid w:val="14531E2D"/>
    <w:rsid w:val="14535FF1"/>
    <w:rsid w:val="14687E7F"/>
    <w:rsid w:val="147A5E14"/>
    <w:rsid w:val="1497412F"/>
    <w:rsid w:val="14D42C8D"/>
    <w:rsid w:val="14E530ED"/>
    <w:rsid w:val="15612461"/>
    <w:rsid w:val="156264EB"/>
    <w:rsid w:val="159F14ED"/>
    <w:rsid w:val="15A80551"/>
    <w:rsid w:val="15DF5D8E"/>
    <w:rsid w:val="15FD6E32"/>
    <w:rsid w:val="16293794"/>
    <w:rsid w:val="16585D24"/>
    <w:rsid w:val="16646293"/>
    <w:rsid w:val="168C6C90"/>
    <w:rsid w:val="16A448E1"/>
    <w:rsid w:val="16C0518A"/>
    <w:rsid w:val="16C15FA5"/>
    <w:rsid w:val="16DE7DF3"/>
    <w:rsid w:val="1732777D"/>
    <w:rsid w:val="175A3EB4"/>
    <w:rsid w:val="17942BA8"/>
    <w:rsid w:val="17A00081"/>
    <w:rsid w:val="17A1211B"/>
    <w:rsid w:val="17AC7EF2"/>
    <w:rsid w:val="181C36C8"/>
    <w:rsid w:val="1830456F"/>
    <w:rsid w:val="18ED7A84"/>
    <w:rsid w:val="19042EAD"/>
    <w:rsid w:val="193463F1"/>
    <w:rsid w:val="193E0799"/>
    <w:rsid w:val="195B04F1"/>
    <w:rsid w:val="19655697"/>
    <w:rsid w:val="199709F7"/>
    <w:rsid w:val="199944A6"/>
    <w:rsid w:val="199E6903"/>
    <w:rsid w:val="19BA1C75"/>
    <w:rsid w:val="19D72FED"/>
    <w:rsid w:val="19DD35A1"/>
    <w:rsid w:val="1A0F6516"/>
    <w:rsid w:val="1A332204"/>
    <w:rsid w:val="1A4347C6"/>
    <w:rsid w:val="1A4D54A0"/>
    <w:rsid w:val="1A5A5165"/>
    <w:rsid w:val="1A990B6C"/>
    <w:rsid w:val="1AB23A71"/>
    <w:rsid w:val="1ABA2925"/>
    <w:rsid w:val="1AC63078"/>
    <w:rsid w:val="1B2E1226"/>
    <w:rsid w:val="1B752593"/>
    <w:rsid w:val="1BED4E7D"/>
    <w:rsid w:val="1C0020E8"/>
    <w:rsid w:val="1C0A1246"/>
    <w:rsid w:val="1C237A27"/>
    <w:rsid w:val="1C31559D"/>
    <w:rsid w:val="1C3241EB"/>
    <w:rsid w:val="1C4F0374"/>
    <w:rsid w:val="1C8E5197"/>
    <w:rsid w:val="1C9A2A0F"/>
    <w:rsid w:val="1CA4388D"/>
    <w:rsid w:val="1CAB15C9"/>
    <w:rsid w:val="1CE14A26"/>
    <w:rsid w:val="1CE476E6"/>
    <w:rsid w:val="1D1545CE"/>
    <w:rsid w:val="1D5521F6"/>
    <w:rsid w:val="1DB7314C"/>
    <w:rsid w:val="1DBB273F"/>
    <w:rsid w:val="1DCD060F"/>
    <w:rsid w:val="1DD81269"/>
    <w:rsid w:val="1E01086B"/>
    <w:rsid w:val="1E3D60CC"/>
    <w:rsid w:val="1E406F8C"/>
    <w:rsid w:val="1E845DEA"/>
    <w:rsid w:val="1F1FA109"/>
    <w:rsid w:val="1F4A2E8F"/>
    <w:rsid w:val="1F766D35"/>
    <w:rsid w:val="1F915726"/>
    <w:rsid w:val="1F9966D3"/>
    <w:rsid w:val="1FBF278C"/>
    <w:rsid w:val="20166850"/>
    <w:rsid w:val="20370353"/>
    <w:rsid w:val="20474C5B"/>
    <w:rsid w:val="205D447F"/>
    <w:rsid w:val="207B4905"/>
    <w:rsid w:val="20F07432"/>
    <w:rsid w:val="2136724D"/>
    <w:rsid w:val="214371F4"/>
    <w:rsid w:val="214474EF"/>
    <w:rsid w:val="21625308"/>
    <w:rsid w:val="21663408"/>
    <w:rsid w:val="21864056"/>
    <w:rsid w:val="21916ED9"/>
    <w:rsid w:val="21A25DC4"/>
    <w:rsid w:val="21B527DE"/>
    <w:rsid w:val="21E75E88"/>
    <w:rsid w:val="21FE4FAF"/>
    <w:rsid w:val="22486A69"/>
    <w:rsid w:val="226338A3"/>
    <w:rsid w:val="226B5F70"/>
    <w:rsid w:val="227776B2"/>
    <w:rsid w:val="22E03BBA"/>
    <w:rsid w:val="22E05E65"/>
    <w:rsid w:val="23330F5A"/>
    <w:rsid w:val="233A0AA7"/>
    <w:rsid w:val="234B6EA1"/>
    <w:rsid w:val="23553FCE"/>
    <w:rsid w:val="24241387"/>
    <w:rsid w:val="243F3E9B"/>
    <w:rsid w:val="24701082"/>
    <w:rsid w:val="24922E39"/>
    <w:rsid w:val="24B74530"/>
    <w:rsid w:val="24BE72A3"/>
    <w:rsid w:val="24D91964"/>
    <w:rsid w:val="24F9229C"/>
    <w:rsid w:val="24FF28BB"/>
    <w:rsid w:val="250C10D6"/>
    <w:rsid w:val="25103C45"/>
    <w:rsid w:val="25186BC6"/>
    <w:rsid w:val="253D487F"/>
    <w:rsid w:val="25413944"/>
    <w:rsid w:val="255078DB"/>
    <w:rsid w:val="25537BFE"/>
    <w:rsid w:val="25660416"/>
    <w:rsid w:val="257768C3"/>
    <w:rsid w:val="2583745E"/>
    <w:rsid w:val="259D45CC"/>
    <w:rsid w:val="25A26260"/>
    <w:rsid w:val="26111D82"/>
    <w:rsid w:val="264F486A"/>
    <w:rsid w:val="26630315"/>
    <w:rsid w:val="267000A3"/>
    <w:rsid w:val="26983290"/>
    <w:rsid w:val="269B0FAB"/>
    <w:rsid w:val="26B87682"/>
    <w:rsid w:val="26DD6558"/>
    <w:rsid w:val="26E06B97"/>
    <w:rsid w:val="26EE0F6E"/>
    <w:rsid w:val="27042C3A"/>
    <w:rsid w:val="27165388"/>
    <w:rsid w:val="272C21F3"/>
    <w:rsid w:val="273D05AF"/>
    <w:rsid w:val="27441A10"/>
    <w:rsid w:val="27A6495D"/>
    <w:rsid w:val="27F51899"/>
    <w:rsid w:val="27FD4BA0"/>
    <w:rsid w:val="280425A1"/>
    <w:rsid w:val="282B39E1"/>
    <w:rsid w:val="28300ECD"/>
    <w:rsid w:val="285965A1"/>
    <w:rsid w:val="28685E58"/>
    <w:rsid w:val="28B3315D"/>
    <w:rsid w:val="28B947AF"/>
    <w:rsid w:val="28EB6F3A"/>
    <w:rsid w:val="290751B4"/>
    <w:rsid w:val="29097D6B"/>
    <w:rsid w:val="29172DBC"/>
    <w:rsid w:val="29774D0D"/>
    <w:rsid w:val="297939AC"/>
    <w:rsid w:val="29EE6148"/>
    <w:rsid w:val="2A3C30FB"/>
    <w:rsid w:val="2A3C5105"/>
    <w:rsid w:val="2A4F5F55"/>
    <w:rsid w:val="2A7F2456"/>
    <w:rsid w:val="2A801147"/>
    <w:rsid w:val="2A9669CD"/>
    <w:rsid w:val="2A9E269F"/>
    <w:rsid w:val="2AA01F44"/>
    <w:rsid w:val="2AAB5DE7"/>
    <w:rsid w:val="2AD93D52"/>
    <w:rsid w:val="2AE0119A"/>
    <w:rsid w:val="2AE31A25"/>
    <w:rsid w:val="2B0F6376"/>
    <w:rsid w:val="2B2067D5"/>
    <w:rsid w:val="2B2C772A"/>
    <w:rsid w:val="2B5E4A9B"/>
    <w:rsid w:val="2B7164CC"/>
    <w:rsid w:val="2BB65EE6"/>
    <w:rsid w:val="2BCE4D6E"/>
    <w:rsid w:val="2BD92719"/>
    <w:rsid w:val="2BE45460"/>
    <w:rsid w:val="2BF12ADC"/>
    <w:rsid w:val="2C0B1233"/>
    <w:rsid w:val="2C1D25A1"/>
    <w:rsid w:val="2C372028"/>
    <w:rsid w:val="2C611433"/>
    <w:rsid w:val="2C7A7A8D"/>
    <w:rsid w:val="2C9702DC"/>
    <w:rsid w:val="2CB050EA"/>
    <w:rsid w:val="2CDF423F"/>
    <w:rsid w:val="2CEE4AB3"/>
    <w:rsid w:val="2D08102D"/>
    <w:rsid w:val="2D2F2CFF"/>
    <w:rsid w:val="2D524DEE"/>
    <w:rsid w:val="2D64259B"/>
    <w:rsid w:val="2D8950BC"/>
    <w:rsid w:val="2D9405AF"/>
    <w:rsid w:val="2DBB27E5"/>
    <w:rsid w:val="2DD60569"/>
    <w:rsid w:val="2DEB4AB1"/>
    <w:rsid w:val="2DEC1A74"/>
    <w:rsid w:val="2E143B0F"/>
    <w:rsid w:val="2E60513A"/>
    <w:rsid w:val="2E6F45ED"/>
    <w:rsid w:val="2E786928"/>
    <w:rsid w:val="2E8B4E9B"/>
    <w:rsid w:val="2EA166C1"/>
    <w:rsid w:val="2EAD08EF"/>
    <w:rsid w:val="2EC72052"/>
    <w:rsid w:val="2ECF360C"/>
    <w:rsid w:val="2EEC350B"/>
    <w:rsid w:val="2EF20805"/>
    <w:rsid w:val="2F1C3757"/>
    <w:rsid w:val="2F393D1C"/>
    <w:rsid w:val="2F4F34F7"/>
    <w:rsid w:val="2FB614B6"/>
    <w:rsid w:val="2FD27E35"/>
    <w:rsid w:val="300C557A"/>
    <w:rsid w:val="30136C5B"/>
    <w:rsid w:val="30291BA3"/>
    <w:rsid w:val="30332B06"/>
    <w:rsid w:val="303F6F81"/>
    <w:rsid w:val="304A6C70"/>
    <w:rsid w:val="30991CC7"/>
    <w:rsid w:val="30B30D96"/>
    <w:rsid w:val="30C45B1C"/>
    <w:rsid w:val="30CB71E3"/>
    <w:rsid w:val="310A7307"/>
    <w:rsid w:val="31362F76"/>
    <w:rsid w:val="318D6246"/>
    <w:rsid w:val="31980B93"/>
    <w:rsid w:val="31A97596"/>
    <w:rsid w:val="31B34BC4"/>
    <w:rsid w:val="31E83DC4"/>
    <w:rsid w:val="320D5349"/>
    <w:rsid w:val="326232A0"/>
    <w:rsid w:val="326A2A2B"/>
    <w:rsid w:val="327306FD"/>
    <w:rsid w:val="328624A5"/>
    <w:rsid w:val="32C24615"/>
    <w:rsid w:val="32D20AF4"/>
    <w:rsid w:val="32DF22A5"/>
    <w:rsid w:val="32EC1EA1"/>
    <w:rsid w:val="330E1357"/>
    <w:rsid w:val="3315507E"/>
    <w:rsid w:val="331B5F85"/>
    <w:rsid w:val="332350B4"/>
    <w:rsid w:val="33735405"/>
    <w:rsid w:val="338F274A"/>
    <w:rsid w:val="33A8074C"/>
    <w:rsid w:val="33C735A0"/>
    <w:rsid w:val="33DF11FD"/>
    <w:rsid w:val="33E86ECF"/>
    <w:rsid w:val="33F24A4C"/>
    <w:rsid w:val="3421153E"/>
    <w:rsid w:val="342124E6"/>
    <w:rsid w:val="34480C48"/>
    <w:rsid w:val="350B691C"/>
    <w:rsid w:val="35151992"/>
    <w:rsid w:val="355F3BF3"/>
    <w:rsid w:val="35BB0691"/>
    <w:rsid w:val="35C37DC3"/>
    <w:rsid w:val="35CE6E2D"/>
    <w:rsid w:val="35DA3A24"/>
    <w:rsid w:val="361E3091"/>
    <w:rsid w:val="363B7552"/>
    <w:rsid w:val="365C2077"/>
    <w:rsid w:val="368178E7"/>
    <w:rsid w:val="368A6D30"/>
    <w:rsid w:val="36965B9D"/>
    <w:rsid w:val="36BA1E1E"/>
    <w:rsid w:val="36BA3A89"/>
    <w:rsid w:val="36D12DAF"/>
    <w:rsid w:val="36D466C5"/>
    <w:rsid w:val="36FA437E"/>
    <w:rsid w:val="37031EB5"/>
    <w:rsid w:val="379D6311"/>
    <w:rsid w:val="37B02C8E"/>
    <w:rsid w:val="380A368A"/>
    <w:rsid w:val="381D6C87"/>
    <w:rsid w:val="38392C84"/>
    <w:rsid w:val="383A69FC"/>
    <w:rsid w:val="38633130"/>
    <w:rsid w:val="38740160"/>
    <w:rsid w:val="387B4294"/>
    <w:rsid w:val="388C7CC2"/>
    <w:rsid w:val="389A0431"/>
    <w:rsid w:val="38AA3ECF"/>
    <w:rsid w:val="38BD1B07"/>
    <w:rsid w:val="38CC58A6"/>
    <w:rsid w:val="38D42BB0"/>
    <w:rsid w:val="38D4425E"/>
    <w:rsid w:val="38FA1622"/>
    <w:rsid w:val="38FC1CB1"/>
    <w:rsid w:val="391138BB"/>
    <w:rsid w:val="396E3F94"/>
    <w:rsid w:val="39902D77"/>
    <w:rsid w:val="39AD58C4"/>
    <w:rsid w:val="39AE77D7"/>
    <w:rsid w:val="39AF7CB0"/>
    <w:rsid w:val="39B50A30"/>
    <w:rsid w:val="39C24E08"/>
    <w:rsid w:val="39C953D2"/>
    <w:rsid w:val="39E00C26"/>
    <w:rsid w:val="3A243E65"/>
    <w:rsid w:val="3A302F52"/>
    <w:rsid w:val="3A60099C"/>
    <w:rsid w:val="3A731C3E"/>
    <w:rsid w:val="3A804E6D"/>
    <w:rsid w:val="3A863F72"/>
    <w:rsid w:val="3A9935D7"/>
    <w:rsid w:val="3AEF3E7A"/>
    <w:rsid w:val="3AF50731"/>
    <w:rsid w:val="3B042005"/>
    <w:rsid w:val="3B145811"/>
    <w:rsid w:val="3B247C1B"/>
    <w:rsid w:val="3B2B51B8"/>
    <w:rsid w:val="3B3430C1"/>
    <w:rsid w:val="3B3B26B4"/>
    <w:rsid w:val="3B4C0F20"/>
    <w:rsid w:val="3B6F4C0F"/>
    <w:rsid w:val="3B7D150A"/>
    <w:rsid w:val="3B824942"/>
    <w:rsid w:val="3B90142B"/>
    <w:rsid w:val="3BCA0015"/>
    <w:rsid w:val="3BD10A0D"/>
    <w:rsid w:val="3C2E730F"/>
    <w:rsid w:val="3C3919B2"/>
    <w:rsid w:val="3C3E2F5F"/>
    <w:rsid w:val="3C4E68F2"/>
    <w:rsid w:val="3C5C33E5"/>
    <w:rsid w:val="3C784EC1"/>
    <w:rsid w:val="3C841D58"/>
    <w:rsid w:val="3C917532"/>
    <w:rsid w:val="3C9C30B9"/>
    <w:rsid w:val="3CEC4C01"/>
    <w:rsid w:val="3CF10D87"/>
    <w:rsid w:val="3D121CF5"/>
    <w:rsid w:val="3D387D18"/>
    <w:rsid w:val="3D3B124C"/>
    <w:rsid w:val="3D521C65"/>
    <w:rsid w:val="3D955418"/>
    <w:rsid w:val="3D9F66AB"/>
    <w:rsid w:val="3DC05072"/>
    <w:rsid w:val="3DC06494"/>
    <w:rsid w:val="3DD23377"/>
    <w:rsid w:val="3DD41F12"/>
    <w:rsid w:val="3DE82198"/>
    <w:rsid w:val="3E2B306F"/>
    <w:rsid w:val="3E3A1504"/>
    <w:rsid w:val="3E500D27"/>
    <w:rsid w:val="3E5E3444"/>
    <w:rsid w:val="3E61081F"/>
    <w:rsid w:val="3E6B3DB3"/>
    <w:rsid w:val="3E6D1292"/>
    <w:rsid w:val="3EC5585E"/>
    <w:rsid w:val="3F585471"/>
    <w:rsid w:val="3F6B3692"/>
    <w:rsid w:val="3F76693F"/>
    <w:rsid w:val="3F8E08E6"/>
    <w:rsid w:val="3F9556F7"/>
    <w:rsid w:val="3FB452E6"/>
    <w:rsid w:val="3FB83028"/>
    <w:rsid w:val="3FDC4CD2"/>
    <w:rsid w:val="40073668"/>
    <w:rsid w:val="40096745"/>
    <w:rsid w:val="40630396"/>
    <w:rsid w:val="406334F2"/>
    <w:rsid w:val="40795730"/>
    <w:rsid w:val="40A8055B"/>
    <w:rsid w:val="40B035B8"/>
    <w:rsid w:val="40C33A32"/>
    <w:rsid w:val="40C9364D"/>
    <w:rsid w:val="40CD2C3F"/>
    <w:rsid w:val="40D519B8"/>
    <w:rsid w:val="40FB141E"/>
    <w:rsid w:val="412A3AB2"/>
    <w:rsid w:val="41406D6F"/>
    <w:rsid w:val="414925C8"/>
    <w:rsid w:val="41656740"/>
    <w:rsid w:val="416E2BAD"/>
    <w:rsid w:val="4182744A"/>
    <w:rsid w:val="41836EE7"/>
    <w:rsid w:val="41AC1903"/>
    <w:rsid w:val="41AE45DE"/>
    <w:rsid w:val="41D57EC1"/>
    <w:rsid w:val="41E75EEC"/>
    <w:rsid w:val="41F12821"/>
    <w:rsid w:val="4212359F"/>
    <w:rsid w:val="42246753"/>
    <w:rsid w:val="4227217C"/>
    <w:rsid w:val="42310E70"/>
    <w:rsid w:val="42B5384F"/>
    <w:rsid w:val="42C534C0"/>
    <w:rsid w:val="42D07EC3"/>
    <w:rsid w:val="42E4705F"/>
    <w:rsid w:val="430640AA"/>
    <w:rsid w:val="430D5439"/>
    <w:rsid w:val="432804C5"/>
    <w:rsid w:val="43605CCC"/>
    <w:rsid w:val="43727CFB"/>
    <w:rsid w:val="43A833B4"/>
    <w:rsid w:val="43BA05EB"/>
    <w:rsid w:val="43D63A7D"/>
    <w:rsid w:val="43FB34E3"/>
    <w:rsid w:val="441F3347"/>
    <w:rsid w:val="44215FA9"/>
    <w:rsid w:val="44265E16"/>
    <w:rsid w:val="443C7F5F"/>
    <w:rsid w:val="445800AD"/>
    <w:rsid w:val="44627714"/>
    <w:rsid w:val="447A7A51"/>
    <w:rsid w:val="449228F7"/>
    <w:rsid w:val="449A71A0"/>
    <w:rsid w:val="44DC3315"/>
    <w:rsid w:val="44F06DC0"/>
    <w:rsid w:val="4505732B"/>
    <w:rsid w:val="451D3446"/>
    <w:rsid w:val="452C7897"/>
    <w:rsid w:val="45392D94"/>
    <w:rsid w:val="45935CF2"/>
    <w:rsid w:val="45AF27D7"/>
    <w:rsid w:val="45B1127B"/>
    <w:rsid w:val="45B63B66"/>
    <w:rsid w:val="45C77069"/>
    <w:rsid w:val="45EA254E"/>
    <w:rsid w:val="464C0EF1"/>
    <w:rsid w:val="4659434D"/>
    <w:rsid w:val="46715CDF"/>
    <w:rsid w:val="46B81B60"/>
    <w:rsid w:val="46CC2C55"/>
    <w:rsid w:val="46DF780A"/>
    <w:rsid w:val="46EA4614"/>
    <w:rsid w:val="472745EF"/>
    <w:rsid w:val="47321ED1"/>
    <w:rsid w:val="47613A8A"/>
    <w:rsid w:val="477E4B57"/>
    <w:rsid w:val="47B20490"/>
    <w:rsid w:val="47B34548"/>
    <w:rsid w:val="47B63BDE"/>
    <w:rsid w:val="47D33B20"/>
    <w:rsid w:val="47D615B5"/>
    <w:rsid w:val="47F234EA"/>
    <w:rsid w:val="47FA4363"/>
    <w:rsid w:val="48084421"/>
    <w:rsid w:val="486C49B0"/>
    <w:rsid w:val="48836411"/>
    <w:rsid w:val="4884619D"/>
    <w:rsid w:val="48CA6394"/>
    <w:rsid w:val="48CE566A"/>
    <w:rsid w:val="48D83181"/>
    <w:rsid w:val="48E052A8"/>
    <w:rsid w:val="491D2230"/>
    <w:rsid w:val="49416BFC"/>
    <w:rsid w:val="49551C16"/>
    <w:rsid w:val="497B7CB3"/>
    <w:rsid w:val="49830203"/>
    <w:rsid w:val="49845D29"/>
    <w:rsid w:val="49877552"/>
    <w:rsid w:val="49A50D02"/>
    <w:rsid w:val="49A632F3"/>
    <w:rsid w:val="49AD5280"/>
    <w:rsid w:val="49EB5DA8"/>
    <w:rsid w:val="4A0550BC"/>
    <w:rsid w:val="4A4F27DB"/>
    <w:rsid w:val="4AAE0F5E"/>
    <w:rsid w:val="4ABC7A01"/>
    <w:rsid w:val="4ABF170F"/>
    <w:rsid w:val="4AC960E9"/>
    <w:rsid w:val="4B08619A"/>
    <w:rsid w:val="4B2D12E0"/>
    <w:rsid w:val="4B413C02"/>
    <w:rsid w:val="4B466488"/>
    <w:rsid w:val="4B971D44"/>
    <w:rsid w:val="4BA45DF7"/>
    <w:rsid w:val="4BA51A78"/>
    <w:rsid w:val="4BEA27BB"/>
    <w:rsid w:val="4BEB6B31"/>
    <w:rsid w:val="4BEF537B"/>
    <w:rsid w:val="4C143C11"/>
    <w:rsid w:val="4C3F60ED"/>
    <w:rsid w:val="4C6F5AD6"/>
    <w:rsid w:val="4C8147A2"/>
    <w:rsid w:val="4C9B3AB5"/>
    <w:rsid w:val="4CAB64B4"/>
    <w:rsid w:val="4CB46925"/>
    <w:rsid w:val="4CCE79E7"/>
    <w:rsid w:val="4CEF795D"/>
    <w:rsid w:val="4D720CBA"/>
    <w:rsid w:val="4D834C75"/>
    <w:rsid w:val="4D94024E"/>
    <w:rsid w:val="4D987FF5"/>
    <w:rsid w:val="4DB52955"/>
    <w:rsid w:val="4DD36371"/>
    <w:rsid w:val="4E2B70BB"/>
    <w:rsid w:val="4E4361B3"/>
    <w:rsid w:val="4E4D40AD"/>
    <w:rsid w:val="4E790592"/>
    <w:rsid w:val="4E8A47E6"/>
    <w:rsid w:val="4E8C5DAC"/>
    <w:rsid w:val="4E8C71ED"/>
    <w:rsid w:val="4E9B7D9D"/>
    <w:rsid w:val="4EAD7AD0"/>
    <w:rsid w:val="4ECA0682"/>
    <w:rsid w:val="4ECB44BE"/>
    <w:rsid w:val="4EF0117A"/>
    <w:rsid w:val="4F067826"/>
    <w:rsid w:val="4F38383D"/>
    <w:rsid w:val="4F677DA3"/>
    <w:rsid w:val="4FBE2271"/>
    <w:rsid w:val="4FC74A7D"/>
    <w:rsid w:val="4FD00DE6"/>
    <w:rsid w:val="4FDA0F8D"/>
    <w:rsid w:val="502C7FBC"/>
    <w:rsid w:val="503000EC"/>
    <w:rsid w:val="503A3817"/>
    <w:rsid w:val="50540821"/>
    <w:rsid w:val="5054476F"/>
    <w:rsid w:val="5057504E"/>
    <w:rsid w:val="50827D7F"/>
    <w:rsid w:val="508E5E86"/>
    <w:rsid w:val="50982285"/>
    <w:rsid w:val="50A77EFE"/>
    <w:rsid w:val="50BF48B5"/>
    <w:rsid w:val="51235989"/>
    <w:rsid w:val="512D0135"/>
    <w:rsid w:val="514E7348"/>
    <w:rsid w:val="51D672B6"/>
    <w:rsid w:val="51E227F8"/>
    <w:rsid w:val="51E657D3"/>
    <w:rsid w:val="51E942BF"/>
    <w:rsid w:val="51F872B4"/>
    <w:rsid w:val="51FB3E14"/>
    <w:rsid w:val="51FF137E"/>
    <w:rsid w:val="52071443"/>
    <w:rsid w:val="52230813"/>
    <w:rsid w:val="5224663F"/>
    <w:rsid w:val="522B4FC6"/>
    <w:rsid w:val="523173E9"/>
    <w:rsid w:val="52483D01"/>
    <w:rsid w:val="524A595D"/>
    <w:rsid w:val="525B1764"/>
    <w:rsid w:val="525D3808"/>
    <w:rsid w:val="525E7A5F"/>
    <w:rsid w:val="528C5FF0"/>
    <w:rsid w:val="52D27B05"/>
    <w:rsid w:val="52D92ACB"/>
    <w:rsid w:val="5346672E"/>
    <w:rsid w:val="537E350E"/>
    <w:rsid w:val="538C61BD"/>
    <w:rsid w:val="53A63785"/>
    <w:rsid w:val="53B4776F"/>
    <w:rsid w:val="53BA0CC5"/>
    <w:rsid w:val="53D926F3"/>
    <w:rsid w:val="541157C3"/>
    <w:rsid w:val="541A71CC"/>
    <w:rsid w:val="542A709D"/>
    <w:rsid w:val="54534C76"/>
    <w:rsid w:val="548255D6"/>
    <w:rsid w:val="54A43723"/>
    <w:rsid w:val="54AD0607"/>
    <w:rsid w:val="54D00C3F"/>
    <w:rsid w:val="551B5793"/>
    <w:rsid w:val="55216B22"/>
    <w:rsid w:val="55274C7B"/>
    <w:rsid w:val="555649EC"/>
    <w:rsid w:val="556A3D47"/>
    <w:rsid w:val="557E1660"/>
    <w:rsid w:val="559B0682"/>
    <w:rsid w:val="55A7171D"/>
    <w:rsid w:val="55B55BE8"/>
    <w:rsid w:val="561F610A"/>
    <w:rsid w:val="5637484F"/>
    <w:rsid w:val="56614C60"/>
    <w:rsid w:val="56C41FFC"/>
    <w:rsid w:val="56F6480F"/>
    <w:rsid w:val="56FC15F5"/>
    <w:rsid w:val="57087F99"/>
    <w:rsid w:val="57176FEB"/>
    <w:rsid w:val="5718669A"/>
    <w:rsid w:val="574B4F73"/>
    <w:rsid w:val="57521214"/>
    <w:rsid w:val="576143E1"/>
    <w:rsid w:val="57AE72A5"/>
    <w:rsid w:val="57D95F1F"/>
    <w:rsid w:val="57E77592"/>
    <w:rsid w:val="58112195"/>
    <w:rsid w:val="581B0D32"/>
    <w:rsid w:val="58216F0B"/>
    <w:rsid w:val="584B11CD"/>
    <w:rsid w:val="586048F0"/>
    <w:rsid w:val="58951D01"/>
    <w:rsid w:val="59751C65"/>
    <w:rsid w:val="598C5A03"/>
    <w:rsid w:val="599211F9"/>
    <w:rsid w:val="59965D30"/>
    <w:rsid w:val="599C6A5E"/>
    <w:rsid w:val="5A5F2D06"/>
    <w:rsid w:val="5A9C7376"/>
    <w:rsid w:val="5AA075D5"/>
    <w:rsid w:val="5AAC3332"/>
    <w:rsid w:val="5ADE2A67"/>
    <w:rsid w:val="5AED6D33"/>
    <w:rsid w:val="5AFC4E9F"/>
    <w:rsid w:val="5AFE1DDF"/>
    <w:rsid w:val="5B18551E"/>
    <w:rsid w:val="5B551512"/>
    <w:rsid w:val="5B5F2152"/>
    <w:rsid w:val="5B8B59E3"/>
    <w:rsid w:val="5B9F0927"/>
    <w:rsid w:val="5BAA0C46"/>
    <w:rsid w:val="5BBB1A7E"/>
    <w:rsid w:val="5BE44E34"/>
    <w:rsid w:val="5BE66F57"/>
    <w:rsid w:val="5BF1724E"/>
    <w:rsid w:val="5C0276AD"/>
    <w:rsid w:val="5C1E5B4F"/>
    <w:rsid w:val="5C34538D"/>
    <w:rsid w:val="5C5B2DD4"/>
    <w:rsid w:val="5C6A5252"/>
    <w:rsid w:val="5CA0080E"/>
    <w:rsid w:val="5CA67F0E"/>
    <w:rsid w:val="5CB70DE5"/>
    <w:rsid w:val="5CCE7744"/>
    <w:rsid w:val="5CD65A6D"/>
    <w:rsid w:val="5CD92B33"/>
    <w:rsid w:val="5CE045A0"/>
    <w:rsid w:val="5CF35A61"/>
    <w:rsid w:val="5D270A6A"/>
    <w:rsid w:val="5D296EBB"/>
    <w:rsid w:val="5D431D2B"/>
    <w:rsid w:val="5D446E72"/>
    <w:rsid w:val="5D5E4DB7"/>
    <w:rsid w:val="5D6567A1"/>
    <w:rsid w:val="5D7E2D63"/>
    <w:rsid w:val="5DEA21A7"/>
    <w:rsid w:val="5DED613B"/>
    <w:rsid w:val="5E1345A6"/>
    <w:rsid w:val="5E145476"/>
    <w:rsid w:val="5E2603C6"/>
    <w:rsid w:val="5E6C38A7"/>
    <w:rsid w:val="5EA7453C"/>
    <w:rsid w:val="5EBB0DA4"/>
    <w:rsid w:val="5ECB6E94"/>
    <w:rsid w:val="5ED35331"/>
    <w:rsid w:val="5ED846F5"/>
    <w:rsid w:val="5EED4009"/>
    <w:rsid w:val="5F021772"/>
    <w:rsid w:val="5F30722F"/>
    <w:rsid w:val="5F3C4C84"/>
    <w:rsid w:val="5F3F29C6"/>
    <w:rsid w:val="5F5D7242"/>
    <w:rsid w:val="5F7801DD"/>
    <w:rsid w:val="5F912710"/>
    <w:rsid w:val="5F93061C"/>
    <w:rsid w:val="5FA665A1"/>
    <w:rsid w:val="5FAF7285"/>
    <w:rsid w:val="5FB27A3B"/>
    <w:rsid w:val="5FB773B9"/>
    <w:rsid w:val="5FC44C79"/>
    <w:rsid w:val="5FD41360"/>
    <w:rsid w:val="5FD517CA"/>
    <w:rsid w:val="5FE570CA"/>
    <w:rsid w:val="5FE7029D"/>
    <w:rsid w:val="5FF612D7"/>
    <w:rsid w:val="60074C26"/>
    <w:rsid w:val="60275934"/>
    <w:rsid w:val="60342C29"/>
    <w:rsid w:val="603C74D7"/>
    <w:rsid w:val="60477D84"/>
    <w:rsid w:val="60501489"/>
    <w:rsid w:val="606C77EB"/>
    <w:rsid w:val="607644CB"/>
    <w:rsid w:val="60927062"/>
    <w:rsid w:val="60CC2038"/>
    <w:rsid w:val="60E47C7F"/>
    <w:rsid w:val="610F3942"/>
    <w:rsid w:val="6110461A"/>
    <w:rsid w:val="613C73A3"/>
    <w:rsid w:val="61601F4C"/>
    <w:rsid w:val="6175423B"/>
    <w:rsid w:val="617C2BE7"/>
    <w:rsid w:val="61C6117D"/>
    <w:rsid w:val="61E82848"/>
    <w:rsid w:val="61F3275E"/>
    <w:rsid w:val="620123FA"/>
    <w:rsid w:val="62055A75"/>
    <w:rsid w:val="62136241"/>
    <w:rsid w:val="62477005"/>
    <w:rsid w:val="62751389"/>
    <w:rsid w:val="62C90F25"/>
    <w:rsid w:val="62DB0C58"/>
    <w:rsid w:val="62E832BC"/>
    <w:rsid w:val="62EC6826"/>
    <w:rsid w:val="634D7596"/>
    <w:rsid w:val="63536A40"/>
    <w:rsid w:val="63586547"/>
    <w:rsid w:val="635B0B72"/>
    <w:rsid w:val="63757946"/>
    <w:rsid w:val="63892462"/>
    <w:rsid w:val="63B75342"/>
    <w:rsid w:val="63D519FA"/>
    <w:rsid w:val="63E85179"/>
    <w:rsid w:val="644A7E43"/>
    <w:rsid w:val="6462603B"/>
    <w:rsid w:val="64A84B6A"/>
    <w:rsid w:val="64CE37B2"/>
    <w:rsid w:val="64D22CE6"/>
    <w:rsid w:val="65254D57"/>
    <w:rsid w:val="654C3747"/>
    <w:rsid w:val="656C3DE9"/>
    <w:rsid w:val="659A2704"/>
    <w:rsid w:val="65B01973"/>
    <w:rsid w:val="65F14FDB"/>
    <w:rsid w:val="660B4B1B"/>
    <w:rsid w:val="665772A7"/>
    <w:rsid w:val="668A075D"/>
    <w:rsid w:val="668E15B5"/>
    <w:rsid w:val="66901C8E"/>
    <w:rsid w:val="66A80E51"/>
    <w:rsid w:val="66D73C13"/>
    <w:rsid w:val="67037D22"/>
    <w:rsid w:val="672662CA"/>
    <w:rsid w:val="67310E46"/>
    <w:rsid w:val="673213DD"/>
    <w:rsid w:val="676924E6"/>
    <w:rsid w:val="67B6134C"/>
    <w:rsid w:val="67E57255"/>
    <w:rsid w:val="6828189F"/>
    <w:rsid w:val="683F7F8F"/>
    <w:rsid w:val="684E77D6"/>
    <w:rsid w:val="68503C5F"/>
    <w:rsid w:val="685A261F"/>
    <w:rsid w:val="685C7FAA"/>
    <w:rsid w:val="686A6FFD"/>
    <w:rsid w:val="68923B67"/>
    <w:rsid w:val="68D909BE"/>
    <w:rsid w:val="69055E04"/>
    <w:rsid w:val="6910780F"/>
    <w:rsid w:val="69126A56"/>
    <w:rsid w:val="69387C83"/>
    <w:rsid w:val="693A6327"/>
    <w:rsid w:val="696C6547"/>
    <w:rsid w:val="69875CFA"/>
    <w:rsid w:val="699A4104"/>
    <w:rsid w:val="699D1FE1"/>
    <w:rsid w:val="69B845BD"/>
    <w:rsid w:val="69DD2ECD"/>
    <w:rsid w:val="69EE4513"/>
    <w:rsid w:val="6A0127E8"/>
    <w:rsid w:val="6A0E36C1"/>
    <w:rsid w:val="6A1916CD"/>
    <w:rsid w:val="6A2E78BF"/>
    <w:rsid w:val="6A3D33AB"/>
    <w:rsid w:val="6A3F78B1"/>
    <w:rsid w:val="6A641F0D"/>
    <w:rsid w:val="6A8219BA"/>
    <w:rsid w:val="6A8804BD"/>
    <w:rsid w:val="6ABA73A5"/>
    <w:rsid w:val="6ADA6B38"/>
    <w:rsid w:val="6AEF725B"/>
    <w:rsid w:val="6B204C86"/>
    <w:rsid w:val="6B506FBE"/>
    <w:rsid w:val="6B8E4AB9"/>
    <w:rsid w:val="6B9C07B8"/>
    <w:rsid w:val="6BB97725"/>
    <w:rsid w:val="6BCE61E8"/>
    <w:rsid w:val="6BDFAB0A"/>
    <w:rsid w:val="6BFC4233"/>
    <w:rsid w:val="6C0134DD"/>
    <w:rsid w:val="6C25467B"/>
    <w:rsid w:val="6C3A3E6E"/>
    <w:rsid w:val="6C703B94"/>
    <w:rsid w:val="6C996646"/>
    <w:rsid w:val="6C9F3448"/>
    <w:rsid w:val="6CB22A29"/>
    <w:rsid w:val="6CB71DEE"/>
    <w:rsid w:val="6CC45FBE"/>
    <w:rsid w:val="6CF03552"/>
    <w:rsid w:val="6D0232BB"/>
    <w:rsid w:val="6D5939A1"/>
    <w:rsid w:val="6D6A3304"/>
    <w:rsid w:val="6D8819DC"/>
    <w:rsid w:val="6DB36A59"/>
    <w:rsid w:val="6DD14E76"/>
    <w:rsid w:val="6DDE3F28"/>
    <w:rsid w:val="6DF20BCA"/>
    <w:rsid w:val="6E530D46"/>
    <w:rsid w:val="6E6957BE"/>
    <w:rsid w:val="6E7A1325"/>
    <w:rsid w:val="6E8D6DD6"/>
    <w:rsid w:val="6E906D9A"/>
    <w:rsid w:val="6E922876"/>
    <w:rsid w:val="6EAB7730"/>
    <w:rsid w:val="6EB32A89"/>
    <w:rsid w:val="6EBB3A4D"/>
    <w:rsid w:val="6EEA3447"/>
    <w:rsid w:val="6F250095"/>
    <w:rsid w:val="6F257A91"/>
    <w:rsid w:val="6F3631A1"/>
    <w:rsid w:val="6F4B0F78"/>
    <w:rsid w:val="6F7FE37A"/>
    <w:rsid w:val="6FC8711C"/>
    <w:rsid w:val="6FE1382A"/>
    <w:rsid w:val="6FE7054D"/>
    <w:rsid w:val="6FE969BF"/>
    <w:rsid w:val="6FEF189F"/>
    <w:rsid w:val="702B1E5E"/>
    <w:rsid w:val="707C622C"/>
    <w:rsid w:val="709954EE"/>
    <w:rsid w:val="70AA65BB"/>
    <w:rsid w:val="70B42B45"/>
    <w:rsid w:val="70C3128F"/>
    <w:rsid w:val="70FB7041"/>
    <w:rsid w:val="71130EFB"/>
    <w:rsid w:val="71B049BF"/>
    <w:rsid w:val="71BC1C54"/>
    <w:rsid w:val="71BC7481"/>
    <w:rsid w:val="71E4568E"/>
    <w:rsid w:val="71FB277D"/>
    <w:rsid w:val="72174304"/>
    <w:rsid w:val="72190E55"/>
    <w:rsid w:val="72212AAA"/>
    <w:rsid w:val="72247F25"/>
    <w:rsid w:val="72273572"/>
    <w:rsid w:val="72477770"/>
    <w:rsid w:val="72936E59"/>
    <w:rsid w:val="72C35869"/>
    <w:rsid w:val="7316586B"/>
    <w:rsid w:val="73280758"/>
    <w:rsid w:val="73487C44"/>
    <w:rsid w:val="73AD3F4B"/>
    <w:rsid w:val="73C31078"/>
    <w:rsid w:val="73D149EF"/>
    <w:rsid w:val="73F21394"/>
    <w:rsid w:val="73F6235F"/>
    <w:rsid w:val="746551E1"/>
    <w:rsid w:val="74817FF6"/>
    <w:rsid w:val="74AC4202"/>
    <w:rsid w:val="74C41977"/>
    <w:rsid w:val="74D01616"/>
    <w:rsid w:val="74D70DF7"/>
    <w:rsid w:val="74DE4FB2"/>
    <w:rsid w:val="74EB3FA6"/>
    <w:rsid w:val="74EE0377"/>
    <w:rsid w:val="750C56AD"/>
    <w:rsid w:val="75404111"/>
    <w:rsid w:val="75840CDB"/>
    <w:rsid w:val="75C61BD7"/>
    <w:rsid w:val="75CA7AAF"/>
    <w:rsid w:val="75CF2BD1"/>
    <w:rsid w:val="75D86EA0"/>
    <w:rsid w:val="75DC6B59"/>
    <w:rsid w:val="7610256F"/>
    <w:rsid w:val="762A20B4"/>
    <w:rsid w:val="76C24506"/>
    <w:rsid w:val="76ED5EB6"/>
    <w:rsid w:val="771C36BA"/>
    <w:rsid w:val="773FE678"/>
    <w:rsid w:val="77444D05"/>
    <w:rsid w:val="774A3F76"/>
    <w:rsid w:val="77B51620"/>
    <w:rsid w:val="77F47C37"/>
    <w:rsid w:val="78072C51"/>
    <w:rsid w:val="780F3479"/>
    <w:rsid w:val="78300CA6"/>
    <w:rsid w:val="78322C70"/>
    <w:rsid w:val="7860333A"/>
    <w:rsid w:val="788D31FB"/>
    <w:rsid w:val="789A5C0B"/>
    <w:rsid w:val="789F3DA6"/>
    <w:rsid w:val="78A52377"/>
    <w:rsid w:val="78A720A7"/>
    <w:rsid w:val="78BA30FC"/>
    <w:rsid w:val="78ED276C"/>
    <w:rsid w:val="78FB35DD"/>
    <w:rsid w:val="791B2483"/>
    <w:rsid w:val="7929584B"/>
    <w:rsid w:val="793A57D7"/>
    <w:rsid w:val="79492020"/>
    <w:rsid w:val="795F5CE7"/>
    <w:rsid w:val="7963154D"/>
    <w:rsid w:val="79AA4693"/>
    <w:rsid w:val="79D030E6"/>
    <w:rsid w:val="79FF1772"/>
    <w:rsid w:val="7A08012D"/>
    <w:rsid w:val="7A947711"/>
    <w:rsid w:val="7AA250E3"/>
    <w:rsid w:val="7AF37FDD"/>
    <w:rsid w:val="7B5B7497"/>
    <w:rsid w:val="7B7B05F3"/>
    <w:rsid w:val="7BF070CA"/>
    <w:rsid w:val="7C112AF8"/>
    <w:rsid w:val="7C184FB7"/>
    <w:rsid w:val="7C3D78E2"/>
    <w:rsid w:val="7C653AB3"/>
    <w:rsid w:val="7C7F3FAA"/>
    <w:rsid w:val="7C832CED"/>
    <w:rsid w:val="7C8F459A"/>
    <w:rsid w:val="7C910466"/>
    <w:rsid w:val="7C97D028"/>
    <w:rsid w:val="7CC239D9"/>
    <w:rsid w:val="7CD5042A"/>
    <w:rsid w:val="7CFB22F6"/>
    <w:rsid w:val="7D042CCF"/>
    <w:rsid w:val="7D0B583E"/>
    <w:rsid w:val="7D24527D"/>
    <w:rsid w:val="7D2708CA"/>
    <w:rsid w:val="7D3D0BFB"/>
    <w:rsid w:val="7D3D1538"/>
    <w:rsid w:val="7D514CC4"/>
    <w:rsid w:val="7D537F01"/>
    <w:rsid w:val="7D614864"/>
    <w:rsid w:val="7D7C31C0"/>
    <w:rsid w:val="7D910439"/>
    <w:rsid w:val="7D9605EE"/>
    <w:rsid w:val="7DBF0B02"/>
    <w:rsid w:val="7DD50157"/>
    <w:rsid w:val="7DF764EE"/>
    <w:rsid w:val="7E155919"/>
    <w:rsid w:val="7E192908"/>
    <w:rsid w:val="7E4378B3"/>
    <w:rsid w:val="7E4876F1"/>
    <w:rsid w:val="7E4F56A7"/>
    <w:rsid w:val="7E5D029C"/>
    <w:rsid w:val="7E713B7F"/>
    <w:rsid w:val="7EB20667"/>
    <w:rsid w:val="7EC81C39"/>
    <w:rsid w:val="7ECD54A1"/>
    <w:rsid w:val="7F0C4C8F"/>
    <w:rsid w:val="7F27742A"/>
    <w:rsid w:val="7F382028"/>
    <w:rsid w:val="7F532AE0"/>
    <w:rsid w:val="7F657487"/>
    <w:rsid w:val="7FB35A70"/>
    <w:rsid w:val="7FC06066"/>
    <w:rsid w:val="7FC20D7E"/>
    <w:rsid w:val="7FDF8BFB"/>
    <w:rsid w:val="7FFA3A5E"/>
    <w:rsid w:val="BEDB8C67"/>
    <w:rsid w:val="C5FA53BE"/>
    <w:rsid w:val="DBFF5702"/>
    <w:rsid w:val="DF7AA2D7"/>
    <w:rsid w:val="E9256F1E"/>
    <w:rsid w:val="FDB961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9"/>
    <w:qFormat/>
    <w:uiPriority w:val="0"/>
    <w:pPr>
      <w:keepNext/>
      <w:keepLines/>
      <w:spacing w:before="260" w:after="260" w:line="413" w:lineRule="auto"/>
      <w:outlineLvl w:val="2"/>
    </w:pPr>
    <w:rPr>
      <w:b/>
      <w:sz w:val="32"/>
    </w:rPr>
  </w:style>
  <w:style w:type="paragraph" w:styleId="2">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5"/>
    <w:qFormat/>
    <w:uiPriority w:val="0"/>
    <w:pPr>
      <w:adjustRightInd w:val="0"/>
      <w:spacing w:line="360" w:lineRule="atLeast"/>
      <w:jc w:val="left"/>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7"/>
    <w:qFormat/>
    <w:uiPriority w:val="0"/>
  </w:style>
  <w:style w:type="paragraph" w:styleId="33">
    <w:name w:val="Body Text Indent 2"/>
    <w:basedOn w:val="34"/>
    <w:link w:val="88"/>
    <w:qFormat/>
    <w:uiPriority w:val="0"/>
    <w:pPr>
      <w:snapToGrid w:val="0"/>
      <w:spacing w:line="560" w:lineRule="atLeast"/>
      <w:ind w:firstLine="540"/>
    </w:pPr>
  </w:style>
  <w:style w:type="paragraph" w:customStyle="1" w:styleId="34">
    <w:name w:val="正文1"/>
    <w:basedOn w:val="1"/>
    <w:next w:val="1"/>
    <w:qFormat/>
    <w:uiPriority w:val="0"/>
    <w:pPr>
      <w:spacing w:line="300" w:lineRule="auto"/>
      <w:ind w:firstLine="200" w:firstLineChars="200"/>
    </w:pPr>
    <w:rPr>
      <w:sz w:val="24"/>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eastAsia="宋体" w:cs="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List"/>
    <w:basedOn w:val="1"/>
    <w:semiHidden/>
    <w:qFormat/>
    <w:uiPriority w:val="0"/>
    <w:pPr>
      <w:ind w:left="200" w:hanging="200" w:hangingChars="200"/>
    </w:pPr>
  </w:style>
  <w:style w:type="paragraph" w:styleId="43">
    <w:name w:val="footnote text"/>
    <w:basedOn w:val="1"/>
    <w:link w:val="89"/>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kern w:val="28"/>
      <w:sz w:val="36"/>
      <w:lang w:eastAsia="en-US"/>
    </w:rPr>
  </w:style>
  <w:style w:type="paragraph" w:styleId="57">
    <w:name w:val="annotation subject"/>
    <w:basedOn w:val="19"/>
    <w:next w:val="19"/>
    <w:link w:val="90"/>
    <w:qFormat/>
    <w:uiPriority w:val="0"/>
    <w:pPr>
      <w:adjustRightInd/>
      <w:spacing w:line="240" w:lineRule="auto"/>
    </w:pPr>
  </w:style>
  <w:style w:type="paragraph" w:styleId="58">
    <w:name w:val="Body Text First Indent"/>
    <w:basedOn w:val="22"/>
    <w:qFormat/>
    <w:uiPriority w:val="0"/>
    <w:pPr>
      <w:spacing w:line="360" w:lineRule="auto"/>
      <w:ind w:firstLine="420"/>
    </w:pPr>
    <w:rPr>
      <w:rFonts w:ascii="宋体" w:hAnsi="宋体"/>
      <w:sz w:val="24"/>
    </w:rPr>
  </w:style>
  <w:style w:type="paragraph" w:styleId="59">
    <w:name w:val="Body Text First Indent 2"/>
    <w:basedOn w:val="23"/>
    <w:next w:val="1"/>
    <w:link w:val="91"/>
    <w:qFormat/>
    <w:uiPriority w:val="0"/>
    <w:pPr>
      <w:spacing w:after="12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basedOn w:val="62"/>
    <w:qFormat/>
    <w:uiPriority w:val="22"/>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basedOn w:val="62"/>
    <w:qFormat/>
    <w:uiPriority w:val="0"/>
  </w:style>
  <w:style w:type="character" w:styleId="67">
    <w:name w:val="HTML Definition"/>
    <w:basedOn w:val="62"/>
    <w:qFormat/>
    <w:uiPriority w:val="0"/>
  </w:style>
  <w:style w:type="character" w:styleId="68">
    <w:name w:val="HTML Typewriter"/>
    <w:basedOn w:val="62"/>
    <w:qFormat/>
    <w:uiPriority w:val="0"/>
    <w:rPr>
      <w:rFonts w:hint="default" w:ascii="monospace" w:hAnsi="monospace" w:eastAsia="monospace" w:cs="monospace"/>
      <w:sz w:val="20"/>
    </w:rPr>
  </w:style>
  <w:style w:type="character" w:styleId="69">
    <w:name w:val="HTML Acronym"/>
    <w:basedOn w:val="62"/>
    <w:qFormat/>
    <w:uiPriority w:val="0"/>
  </w:style>
  <w:style w:type="character" w:styleId="70">
    <w:name w:val="HTML Variable"/>
    <w:basedOn w:val="62"/>
    <w:qFormat/>
    <w:uiPriority w:val="0"/>
  </w:style>
  <w:style w:type="character" w:styleId="71">
    <w:name w:val="Hyperlink"/>
    <w:qFormat/>
    <w:uiPriority w:val="99"/>
    <w:rPr>
      <w:color w:val="0000FF"/>
      <w:u w:val="single"/>
    </w:rPr>
  </w:style>
  <w:style w:type="character" w:styleId="72">
    <w:name w:val="HTML Code"/>
    <w:basedOn w:val="62"/>
    <w:qFormat/>
    <w:uiPriority w:val="0"/>
    <w:rPr>
      <w:rFonts w:hint="default" w:ascii="monospace" w:hAnsi="monospace" w:eastAsia="monospace" w:cs="monospace"/>
      <w:sz w:val="20"/>
    </w:rPr>
  </w:style>
  <w:style w:type="character" w:styleId="73">
    <w:name w:val="annotation reference"/>
    <w:qFormat/>
    <w:uiPriority w:val="0"/>
    <w:rPr>
      <w:sz w:val="21"/>
      <w:szCs w:val="21"/>
    </w:rPr>
  </w:style>
  <w:style w:type="character" w:styleId="74">
    <w:name w:val="HTML Cite"/>
    <w:basedOn w:val="62"/>
    <w:qFormat/>
    <w:uiPriority w:val="0"/>
  </w:style>
  <w:style w:type="character" w:styleId="75">
    <w:name w:val="footnote reference"/>
    <w:qFormat/>
    <w:uiPriority w:val="0"/>
    <w:rPr>
      <w:position w:val="6"/>
      <w:sz w:val="14"/>
      <w:vertAlign w:val="superscript"/>
    </w:rPr>
  </w:style>
  <w:style w:type="character" w:styleId="76">
    <w:name w:val="HTML Keyboard"/>
    <w:basedOn w:val="62"/>
    <w:qFormat/>
    <w:uiPriority w:val="0"/>
    <w:rPr>
      <w:rFonts w:ascii="monospace" w:hAnsi="monospace" w:eastAsia="monospace" w:cs="monospace"/>
      <w:sz w:val="20"/>
    </w:rPr>
  </w:style>
  <w:style w:type="character" w:styleId="77">
    <w:name w:val="HTML Sample"/>
    <w:basedOn w:val="62"/>
    <w:qFormat/>
    <w:uiPriority w:val="0"/>
    <w:rPr>
      <w:rFonts w:hint="default" w:ascii="monospace" w:hAnsi="monospace" w:eastAsia="monospace" w:cs="monospace"/>
    </w:rPr>
  </w:style>
  <w:style w:type="character" w:customStyle="1" w:styleId="78">
    <w:name w:val="标题 2 Char"/>
    <w:link w:val="4"/>
    <w:qFormat/>
    <w:uiPriority w:val="0"/>
    <w:rPr>
      <w:rFonts w:ascii="Arial" w:hAnsi="Arial" w:eastAsia="黑体"/>
      <w:b/>
      <w:kern w:val="2"/>
      <w:sz w:val="32"/>
    </w:rPr>
  </w:style>
  <w:style w:type="character" w:customStyle="1" w:styleId="79">
    <w:name w:val="标题 3 Char"/>
    <w:link w:val="5"/>
    <w:qFormat/>
    <w:uiPriority w:val="0"/>
    <w:rPr>
      <w:rFonts w:eastAsia="宋体"/>
      <w:b/>
      <w:kern w:val="2"/>
      <w:sz w:val="32"/>
      <w:lang w:val="en-US" w:eastAsia="zh-CN"/>
    </w:rPr>
  </w:style>
  <w:style w:type="paragraph" w:customStyle="1" w:styleId="80">
    <w:name w:val="BodyText"/>
    <w:basedOn w:val="1"/>
    <w:next w:val="81"/>
    <w:qFormat/>
    <w:uiPriority w:val="0"/>
    <w:pPr>
      <w:textAlignment w:val="baseline"/>
    </w:pPr>
    <w:rPr>
      <w:rFonts w:ascii="仿宋_GB2312" w:eastAsia="仿宋_GB2312"/>
      <w:sz w:val="32"/>
    </w:rPr>
  </w:style>
  <w:style w:type="paragraph" w:customStyle="1" w:styleId="81">
    <w:name w:val="BodyTextIndent"/>
    <w:basedOn w:val="1"/>
    <w:qFormat/>
    <w:uiPriority w:val="0"/>
    <w:pPr>
      <w:spacing w:line="700" w:lineRule="exact"/>
      <w:ind w:left="960"/>
      <w:textAlignment w:val="baseline"/>
    </w:pPr>
    <w:rPr>
      <w:sz w:val="44"/>
    </w:rPr>
  </w:style>
  <w:style w:type="paragraph" w:customStyle="1" w:styleId="8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3">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84">
    <w:name w:val="标书正文1"/>
    <w:basedOn w:val="1"/>
    <w:qFormat/>
    <w:uiPriority w:val="0"/>
    <w:pPr>
      <w:spacing w:line="520" w:lineRule="exact"/>
      <w:ind w:firstLine="640" w:firstLineChars="200"/>
    </w:pPr>
  </w:style>
  <w:style w:type="character" w:customStyle="1" w:styleId="85">
    <w:name w:val="批注文字 Char"/>
    <w:link w:val="19"/>
    <w:qFormat/>
    <w:uiPriority w:val="0"/>
    <w:rPr>
      <w:sz w:val="24"/>
    </w:rPr>
  </w:style>
  <w:style w:type="character" w:customStyle="1" w:styleId="86">
    <w:name w:val="正文文本缩进 Char"/>
    <w:link w:val="23"/>
    <w:qFormat/>
    <w:uiPriority w:val="0"/>
    <w:rPr>
      <w:kern w:val="2"/>
      <w:sz w:val="44"/>
    </w:rPr>
  </w:style>
  <w:style w:type="character" w:customStyle="1" w:styleId="87">
    <w:name w:val="日期 Char"/>
    <w:link w:val="32"/>
    <w:qFormat/>
    <w:uiPriority w:val="0"/>
    <w:rPr>
      <w:kern w:val="2"/>
      <w:sz w:val="28"/>
    </w:rPr>
  </w:style>
  <w:style w:type="character" w:customStyle="1" w:styleId="88">
    <w:name w:val="正文文本缩进 2 Char"/>
    <w:link w:val="33"/>
    <w:qFormat/>
    <w:uiPriority w:val="0"/>
    <w:rPr>
      <w:kern w:val="2"/>
      <w:sz w:val="28"/>
    </w:rPr>
  </w:style>
  <w:style w:type="character" w:customStyle="1" w:styleId="89">
    <w:name w:val="脚注文本 Char"/>
    <w:link w:val="43"/>
    <w:qFormat/>
    <w:uiPriority w:val="0"/>
    <w:rPr>
      <w:kern w:val="2"/>
      <w:sz w:val="18"/>
    </w:rPr>
  </w:style>
  <w:style w:type="character" w:customStyle="1" w:styleId="90">
    <w:name w:val="批注主题 Char"/>
    <w:link w:val="57"/>
    <w:qFormat/>
    <w:uiPriority w:val="0"/>
  </w:style>
  <w:style w:type="character" w:customStyle="1" w:styleId="91">
    <w:name w:val="正文首行缩进 2 Char"/>
    <w:link w:val="59"/>
    <w:qFormat/>
    <w:uiPriority w:val="0"/>
  </w:style>
  <w:style w:type="character" w:customStyle="1" w:styleId="92">
    <w:name w:val="v151"/>
    <w:qFormat/>
    <w:uiPriority w:val="0"/>
    <w:rPr>
      <w:sz w:val="18"/>
    </w:rPr>
  </w:style>
  <w:style w:type="character" w:customStyle="1" w:styleId="93">
    <w:name w:val="Char Char7"/>
    <w:qFormat/>
    <w:uiPriority w:val="0"/>
    <w:rPr>
      <w:rFonts w:ascii="宋体" w:hAnsi="宋体" w:eastAsia="宋体"/>
      <w:kern w:val="2"/>
      <w:sz w:val="28"/>
    </w:rPr>
  </w:style>
  <w:style w:type="character" w:customStyle="1" w:styleId="94">
    <w:name w:val="小 Char"/>
    <w:qFormat/>
    <w:uiPriority w:val="0"/>
    <w:rPr>
      <w:rFonts w:ascii="宋体" w:hAnsi="Courier New" w:eastAsia="宋体"/>
      <w:kern w:val="2"/>
      <w:sz w:val="21"/>
      <w:lang w:val="en-US" w:eastAsia="zh-CN" w:bidi="ar-SA"/>
    </w:rPr>
  </w:style>
  <w:style w:type="character" w:customStyle="1" w:styleId="95">
    <w:name w:val="文字 Char"/>
    <w:link w:val="96"/>
    <w:qFormat/>
    <w:uiPriority w:val="0"/>
    <w:rPr>
      <w:rFonts w:ascii="宋体"/>
      <w:kern w:val="2"/>
      <w:sz w:val="28"/>
    </w:rPr>
  </w:style>
  <w:style w:type="paragraph" w:customStyle="1" w:styleId="96">
    <w:name w:val="文字"/>
    <w:basedOn w:val="1"/>
    <w:link w:val="95"/>
    <w:qFormat/>
    <w:uiPriority w:val="0"/>
    <w:pPr>
      <w:tabs>
        <w:tab w:val="left" w:pos="8520"/>
      </w:tabs>
      <w:spacing w:line="312" w:lineRule="auto"/>
      <w:ind w:right="-210" w:firstLine="556"/>
    </w:pPr>
    <w:rPr>
      <w:rFonts w:ascii="宋体"/>
    </w:rPr>
  </w:style>
  <w:style w:type="character" w:customStyle="1" w:styleId="97">
    <w:name w:val="content-white1"/>
    <w:qFormat/>
    <w:uiPriority w:val="0"/>
    <w:rPr>
      <w:rFonts w:ascii="_x000B__x000C_" w:hAnsi="_x000B__x000C_"/>
      <w:color w:val="auto"/>
      <w:sz w:val="18"/>
      <w:u w:val="none"/>
    </w:rPr>
  </w:style>
  <w:style w:type="character" w:customStyle="1" w:styleId="98">
    <w:name w:val="正文 + 三号 Char"/>
    <w:qFormat/>
    <w:uiPriority w:val="0"/>
    <w:rPr>
      <w:rFonts w:eastAsia="宋体"/>
      <w:kern w:val="2"/>
      <w:sz w:val="21"/>
      <w:lang w:val="en-US" w:eastAsia="zh-CN"/>
    </w:rPr>
  </w:style>
  <w:style w:type="character" w:customStyle="1" w:styleId="99">
    <w:name w:val="H2 Char"/>
    <w:qFormat/>
    <w:uiPriority w:val="0"/>
    <w:rPr>
      <w:rFonts w:ascii="Arial" w:hAnsi="Arial" w:eastAsia="宋体"/>
      <w:kern w:val="2"/>
      <w:sz w:val="28"/>
      <w:lang w:val="en-US" w:eastAsia="zh-CN"/>
    </w:rPr>
  </w:style>
  <w:style w:type="character" w:customStyle="1" w:styleId="100">
    <w:name w:val="Char Char3"/>
    <w:qFormat/>
    <w:uiPriority w:val="0"/>
    <w:rPr>
      <w:rFonts w:eastAsia="宋体"/>
      <w:kern w:val="2"/>
      <w:sz w:val="18"/>
      <w:lang w:val="en-US" w:eastAsia="zh-CN"/>
    </w:rPr>
  </w:style>
  <w:style w:type="character" w:customStyle="1" w:styleId="101">
    <w:name w:val="Char Char4"/>
    <w:qFormat/>
    <w:uiPriority w:val="0"/>
    <w:rPr>
      <w:rFonts w:eastAsia="宋体"/>
      <w:b/>
      <w:kern w:val="2"/>
      <w:sz w:val="21"/>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5"/>
    <w:qFormat/>
    <w:uiPriority w:val="0"/>
    <w:rPr>
      <w:rFonts w:ascii="Arial" w:hAnsi="Arial" w:eastAsia="宋体"/>
      <w:b/>
      <w:kern w:val="28"/>
      <w:sz w:val="36"/>
      <w:lang w:val="en-US" w:eastAsia="en-US"/>
    </w:rPr>
  </w:style>
  <w:style w:type="character" w:customStyle="1" w:styleId="104">
    <w:name w:val="Char Char"/>
    <w:qFormat/>
    <w:uiPriority w:val="0"/>
    <w:rPr>
      <w:rFonts w:ascii="宋体" w:hAnsi="宋体" w:eastAsia="宋体"/>
      <w:kern w:val="2"/>
      <w:sz w:val="24"/>
      <w:lang w:val="en-US" w:eastAsia="zh-CN" w:bidi="ar-SA"/>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able Text Char Char Char Char"/>
    <w:link w:val="107"/>
    <w:qFormat/>
    <w:uiPriority w:val="0"/>
    <w:rPr>
      <w:rFonts w:ascii="Arial" w:hAnsi="Arial"/>
      <w:kern w:val="2"/>
      <w:sz w:val="18"/>
      <w:lang w:val="en-US" w:eastAsia="zh-CN" w:bidi="ar-SA"/>
    </w:rPr>
  </w:style>
  <w:style w:type="paragraph" w:customStyle="1" w:styleId="107">
    <w:name w:val="Table Text Char Char Char"/>
    <w:link w:val="106"/>
    <w:qFormat/>
    <w:uiPriority w:val="0"/>
    <w:pPr>
      <w:snapToGrid w:val="0"/>
      <w:spacing w:before="80" w:after="80"/>
    </w:pPr>
    <w:rPr>
      <w:rFonts w:ascii="Arial" w:hAnsi="Arial" w:eastAsia="宋体" w:cs="Times New Roman"/>
      <w:kern w:val="2"/>
      <w:sz w:val="18"/>
      <w:lang w:val="en-US" w:eastAsia="zh-CN" w:bidi="ar-SA"/>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Char Char2"/>
    <w:qFormat/>
    <w:uiPriority w:val="0"/>
    <w:rPr>
      <w:rFonts w:eastAsia="宋体"/>
      <w:kern w:val="2"/>
      <w:sz w:val="18"/>
      <w:lang w:val="en-US" w:eastAsia="zh-CN"/>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样式 宋体"/>
    <w:qFormat/>
    <w:uiPriority w:val="0"/>
    <w:rPr>
      <w:rFonts w:ascii="宋体" w:hAnsi="宋体" w:eastAsia="宋体"/>
      <w:sz w:val="28"/>
    </w:rPr>
  </w:style>
  <w:style w:type="character" w:customStyle="1" w:styleId="113">
    <w:name w:val="未命名11"/>
    <w:qFormat/>
    <w:uiPriority w:val="0"/>
    <w:rPr>
      <w:color w:val="77FFFF"/>
      <w:sz w:val="24"/>
    </w:rPr>
  </w:style>
  <w:style w:type="character" w:customStyle="1" w:styleId="114">
    <w:name w:val="crowed11"/>
    <w:qFormat/>
    <w:uiPriority w:val="0"/>
    <w:rPr>
      <w:rFonts w:hint="default" w:ascii="_x000B__x000C_" w:hAnsi="_x000B__x000C_"/>
      <w:sz w:val="24"/>
    </w:rPr>
  </w:style>
  <w:style w:type="character" w:customStyle="1" w:styleId="115">
    <w:name w:val="Char Char6"/>
    <w:qFormat/>
    <w:uiPriority w:val="0"/>
    <w:rPr>
      <w:rFonts w:ascii="仿宋_GB2312" w:eastAsia="仿宋_GB2312"/>
      <w:kern w:val="2"/>
      <w:sz w:val="32"/>
    </w:rPr>
  </w:style>
  <w:style w:type="character" w:customStyle="1" w:styleId="116">
    <w:name w:val="title_emph1"/>
    <w:qFormat/>
    <w:uiPriority w:val="0"/>
    <w:rPr>
      <w:rFonts w:hint="default" w:ascii="Arial" w:hAnsi="Arial"/>
      <w:b/>
      <w:sz w:val="20"/>
    </w:rPr>
  </w:style>
  <w:style w:type="character" w:customStyle="1" w:styleId="117">
    <w:name w:val="font1"/>
    <w:qFormat/>
    <w:uiPriority w:val="0"/>
    <w:rPr>
      <w:color w:val="000000"/>
      <w:sz w:val="18"/>
    </w:rPr>
  </w:style>
  <w:style w:type="character" w:customStyle="1" w:styleId="118">
    <w:name w:val="Char Char11"/>
    <w:qFormat/>
    <w:uiPriority w:val="0"/>
    <w:rPr>
      <w:rFonts w:ascii="宋体"/>
      <w:kern w:val="2"/>
      <w:sz w:val="28"/>
    </w:rPr>
  </w:style>
  <w:style w:type="character" w:customStyle="1" w:styleId="119">
    <w:name w:val="top-det1"/>
    <w:qFormat/>
    <w:uiPriority w:val="0"/>
    <w:rPr>
      <w:b/>
      <w:color w:val="000000"/>
    </w:rPr>
  </w:style>
  <w:style w:type="paragraph" w:customStyle="1" w:styleId="120">
    <w:name w:val="二级列表"/>
    <w:basedOn w:val="121"/>
    <w:qFormat/>
    <w:uiPriority w:val="0"/>
    <w:pPr>
      <w:tabs>
        <w:tab w:val="left" w:pos="2120"/>
      </w:tabs>
      <w:ind w:firstLine="0" w:firstLineChars="0"/>
    </w:pPr>
    <w:rPr>
      <w:b/>
    </w:rPr>
  </w:style>
  <w:style w:type="paragraph" w:customStyle="1" w:styleId="121">
    <w:name w:val="段落正文"/>
    <w:basedOn w:val="1"/>
    <w:qFormat/>
    <w:uiPriority w:val="0"/>
    <w:pPr>
      <w:spacing w:before="156" w:beforeLines="50" w:line="360" w:lineRule="auto"/>
      <w:ind w:firstLine="200" w:firstLineChars="200"/>
    </w:pPr>
    <w:rPr>
      <w:spacing w:val="2"/>
      <w:sz w:val="24"/>
    </w:rPr>
  </w:style>
  <w:style w:type="paragraph" w:customStyle="1" w:styleId="122">
    <w:name w:val="标题3——2"/>
    <w:basedOn w:val="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23">
    <w:name w:val="文本1"/>
    <w:basedOn w:val="1"/>
    <w:qFormat/>
    <w:uiPriority w:val="0"/>
    <w:pPr>
      <w:adjustRightInd w:val="0"/>
      <w:spacing w:line="312" w:lineRule="atLeast"/>
      <w:jc w:val="center"/>
    </w:pPr>
    <w:rPr>
      <w:kern w:val="0"/>
      <w:sz w:val="18"/>
    </w:rPr>
  </w:style>
  <w:style w:type="paragraph" w:customStyle="1" w:styleId="124">
    <w:name w:val="Title - Revision"/>
    <w:basedOn w:val="56"/>
    <w:qFormat/>
    <w:uiPriority w:val="0"/>
    <w:pPr>
      <w:spacing w:before="720"/>
    </w:pPr>
  </w:style>
  <w:style w:type="paragraph" w:customStyle="1" w:styleId="1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27">
    <w:name w:val="二级条标题"/>
    <w:basedOn w:val="128"/>
    <w:qFormat/>
    <w:uiPriority w:val="0"/>
    <w:pPr>
      <w:ind w:left="840"/>
      <w:outlineLvl w:val="3"/>
    </w:pPr>
  </w:style>
  <w:style w:type="paragraph" w:customStyle="1" w:styleId="128">
    <w:name w:val="一级条标题"/>
    <w:basedOn w:val="129"/>
    <w:qFormat/>
    <w:uiPriority w:val="0"/>
    <w:pPr>
      <w:numPr>
        <w:numId w:val="0"/>
      </w:numPr>
      <w:spacing w:before="0" w:beforeLines="0" w:after="0" w:afterLines="0"/>
      <w:ind w:left="525"/>
      <w:outlineLvl w:val="2"/>
    </w:pPr>
    <w:rPr>
      <w:sz w:val="21"/>
    </w:rPr>
  </w:style>
  <w:style w:type="paragraph" w:customStyle="1" w:styleId="129">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3">
    <w:name w:val="编号正文"/>
    <w:basedOn w:val="134"/>
    <w:qFormat/>
    <w:uiPriority w:val="0"/>
    <w:pPr>
      <w:snapToGrid/>
      <w:spacing w:line="360" w:lineRule="auto"/>
      <w:ind w:left="1407" w:hanging="1047"/>
      <w:jc w:val="left"/>
    </w:pPr>
    <w:rPr>
      <w:rFonts w:eastAsia="仿宋_GB2312"/>
    </w:rPr>
  </w:style>
  <w:style w:type="paragraph" w:customStyle="1" w:styleId="134">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35">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36">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7">
    <w:name w:val="默认段落字体 Para Char Char Char Char Char Char Char Char Char1 Char Char Char Char"/>
    <w:basedOn w:val="1"/>
    <w:qFormat/>
    <w:uiPriority w:val="0"/>
    <w:rPr>
      <w:rFonts w:ascii="Tahoma" w:hAnsi="Tahoma"/>
      <w:sz w:val="24"/>
    </w:rPr>
  </w:style>
  <w:style w:type="paragraph" w:customStyle="1" w:styleId="13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0">
    <w:name w:val="Char Char14 Char Char"/>
    <w:basedOn w:val="1"/>
    <w:qFormat/>
    <w:uiPriority w:val="0"/>
    <w:rPr>
      <w:sz w:val="21"/>
      <w:szCs w:val="24"/>
    </w:rPr>
  </w:style>
  <w:style w:type="paragraph" w:customStyle="1" w:styleId="141">
    <w:name w:val="Char Char Char Char Char"/>
    <w:basedOn w:val="1"/>
    <w:qFormat/>
    <w:uiPriority w:val="0"/>
    <w:pPr>
      <w:tabs>
        <w:tab w:val="left" w:pos="425"/>
      </w:tabs>
      <w:ind w:left="1620" w:hanging="360"/>
    </w:pPr>
    <w:rPr>
      <w:rFonts w:ascii="Tahoma" w:hAnsi="Tahoma"/>
      <w:sz w:val="24"/>
    </w:rPr>
  </w:style>
  <w:style w:type="paragraph" w:customStyle="1" w:styleId="142">
    <w:name w:val="Char2 Char Char Char Char Char Char"/>
    <w:basedOn w:val="1"/>
    <w:qFormat/>
    <w:uiPriority w:val="0"/>
    <w:rPr>
      <w:rFonts w:ascii="仿宋_GB2312"/>
      <w:b/>
      <w:sz w:val="30"/>
    </w:rPr>
  </w:style>
  <w:style w:type="paragraph" w:customStyle="1" w:styleId="143">
    <w:name w:val="_Style 126"/>
    <w:qFormat/>
    <w:uiPriority w:val="0"/>
    <w:rPr>
      <w:rFonts w:ascii="Times New Roman" w:hAnsi="Times New Roman" w:eastAsia="宋体" w:cs="Times New Roman"/>
      <w:kern w:val="2"/>
      <w:sz w:val="21"/>
      <w:lang w:val="en-US" w:eastAsia="zh-CN" w:bidi="ar-SA"/>
    </w:rPr>
  </w:style>
  <w:style w:type="paragraph" w:customStyle="1" w:styleId="144">
    <w:name w:val="正文格式 Char"/>
    <w:basedOn w:val="1"/>
    <w:qFormat/>
    <w:uiPriority w:val="0"/>
    <w:pPr>
      <w:widowControl/>
      <w:adjustRightInd w:val="0"/>
      <w:spacing w:line="440" w:lineRule="atLeast"/>
      <w:ind w:firstLine="510"/>
    </w:pPr>
    <w:rPr>
      <w:kern w:val="0"/>
      <w:sz w:val="24"/>
    </w:rPr>
  </w:style>
  <w:style w:type="paragraph" w:customStyle="1" w:styleId="145">
    <w:name w:val="正文 + 三号"/>
    <w:basedOn w:val="1"/>
    <w:qFormat/>
    <w:uiPriority w:val="0"/>
    <w:rPr>
      <w:sz w:val="21"/>
    </w:rPr>
  </w:style>
  <w:style w:type="paragraph" w:customStyle="1" w:styleId="146">
    <w:name w:val="样式 首行缩进:  0.74 厘米"/>
    <w:basedOn w:val="1"/>
    <w:qFormat/>
    <w:uiPriority w:val="0"/>
    <w:pPr>
      <w:spacing w:line="360" w:lineRule="auto"/>
      <w:ind w:firstLine="420"/>
    </w:pPr>
    <w:rPr>
      <w:sz w:val="24"/>
    </w:rPr>
  </w:style>
  <w:style w:type="paragraph" w:customStyle="1" w:styleId="147">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4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Table Contents"/>
    <w:basedOn w:val="22"/>
    <w:qFormat/>
    <w:uiPriority w:val="0"/>
    <w:pPr>
      <w:suppressAutoHyphens/>
      <w:jc w:val="left"/>
    </w:pPr>
    <w:rPr>
      <w:rFonts w:ascii="Times New Roman" w:eastAsia="Times New Roman"/>
      <w:kern w:val="0"/>
      <w:sz w:val="24"/>
    </w:rPr>
  </w:style>
  <w:style w:type="paragraph" w:customStyle="1" w:styleId="151">
    <w:name w:val="表格文本"/>
    <w:qFormat/>
    <w:uiPriority w:val="0"/>
    <w:pPr>
      <w:tabs>
        <w:tab w:val="decimal" w:pos="0"/>
      </w:tabs>
    </w:pPr>
    <w:rPr>
      <w:rFonts w:ascii="Arial" w:hAnsi="Arial" w:eastAsia="宋体" w:cs="Times New Roman"/>
      <w:sz w:val="21"/>
      <w:lang w:val="en-US" w:eastAsia="zh-CN" w:bidi="ar-SA"/>
    </w:rPr>
  </w:style>
  <w:style w:type="paragraph" w:customStyle="1" w:styleId="152">
    <w:name w:val="Char Char Char Char Char Char Char"/>
    <w:basedOn w:val="1"/>
    <w:qFormat/>
    <w:uiPriority w:val="0"/>
    <w:rPr>
      <w:rFonts w:ascii="Tahoma" w:hAnsi="Tahoma"/>
      <w:sz w:val="24"/>
    </w:rPr>
  </w:style>
  <w:style w:type="paragraph" w:customStyle="1" w:styleId="153">
    <w:name w:val="样式2"/>
    <w:basedOn w:val="2"/>
    <w:qFormat/>
    <w:uiPriority w:val="0"/>
    <w:pPr>
      <w:numPr>
        <w:ilvl w:val="0"/>
        <w:numId w:val="6"/>
      </w:numPr>
      <w:spacing w:before="560" w:line="400" w:lineRule="exact"/>
      <w:jc w:val="center"/>
      <w:outlineLvl w:val="0"/>
    </w:pPr>
    <w:rPr>
      <w:b w:val="0"/>
      <w:sz w:val="44"/>
    </w:rPr>
  </w:style>
  <w:style w:type="paragraph" w:customStyle="1" w:styleId="154">
    <w:name w:val="内容标题"/>
    <w:basedOn w:val="17"/>
    <w:qFormat/>
    <w:uiPriority w:val="0"/>
    <w:rPr>
      <w:rFonts w:ascii="Tahoma" w:hAnsi="Tahoma"/>
      <w:sz w:val="24"/>
    </w:rPr>
  </w:style>
  <w:style w:type="paragraph" w:customStyle="1" w:styleId="15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6">
    <w:name w:val="1"/>
    <w:basedOn w:val="1"/>
    <w:next w:val="30"/>
    <w:qFormat/>
    <w:uiPriority w:val="0"/>
    <w:rPr>
      <w:rFonts w:ascii="宋体" w:hAnsi="Courier New"/>
      <w:sz w:val="21"/>
    </w:rPr>
  </w:style>
  <w:style w:type="paragraph" w:customStyle="1" w:styleId="157">
    <w:name w:val="列表项目"/>
    <w:basedOn w:val="1"/>
    <w:qFormat/>
    <w:uiPriority w:val="0"/>
    <w:pPr>
      <w:tabs>
        <w:tab w:val="left" w:pos="420"/>
      </w:tabs>
      <w:spacing w:line="288" w:lineRule="auto"/>
      <w:ind w:left="840" w:leftChars="200" w:hanging="420" w:hangingChars="200"/>
    </w:pPr>
    <w:rPr>
      <w:sz w:val="21"/>
    </w:rPr>
  </w:style>
  <w:style w:type="paragraph" w:customStyle="1" w:styleId="15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9">
    <w:name w:val="Char Char Char Char Char Char Char1"/>
    <w:basedOn w:val="17"/>
    <w:qFormat/>
    <w:uiPriority w:val="0"/>
    <w:rPr>
      <w:rFonts w:ascii="宋体" w:hAnsi="Tahoma"/>
    </w:rPr>
  </w:style>
  <w:style w:type="paragraph" w:customStyle="1" w:styleId="160">
    <w:name w:val="样式 标题 6第五层条 + 三号 段前: 0.5 行"/>
    <w:basedOn w:val="7"/>
    <w:qFormat/>
    <w:uiPriority w:val="0"/>
    <w:pPr>
      <w:widowControl/>
      <w:adjustRightInd/>
      <w:snapToGrid/>
      <w:spacing w:before="156" w:beforeLines="50"/>
      <w:jc w:val="left"/>
    </w:pPr>
    <w:rPr>
      <w:kern w:val="24"/>
      <w:sz w:val="28"/>
    </w:rPr>
  </w:style>
  <w:style w:type="paragraph" w:customStyle="1" w:styleId="16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63">
    <w:name w:val="样式 行距: 1.5 倍行距1"/>
    <w:basedOn w:val="1"/>
    <w:qFormat/>
    <w:uiPriority w:val="0"/>
    <w:pPr>
      <w:snapToGrid w:val="0"/>
    </w:pPr>
    <w:rPr>
      <w:sz w:val="21"/>
    </w:rPr>
  </w:style>
  <w:style w:type="paragraph" w:customStyle="1" w:styleId="1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5">
    <w:name w:val="00"/>
    <w:basedOn w:val="1"/>
    <w:qFormat/>
    <w:uiPriority w:val="0"/>
    <w:pPr>
      <w:autoSpaceDE w:val="0"/>
      <w:autoSpaceDN w:val="0"/>
      <w:adjustRightInd w:val="0"/>
      <w:jc w:val="left"/>
    </w:pPr>
    <w:rPr>
      <w:rFonts w:ascii="黑体" w:eastAsia="黑体"/>
      <w:b/>
      <w:kern w:val="0"/>
      <w:sz w:val="20"/>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9">
    <w:name w:val="标准正文"/>
    <w:basedOn w:val="23"/>
    <w:qFormat/>
    <w:uiPriority w:val="0"/>
    <w:pPr>
      <w:spacing w:before="60" w:after="60" w:line="360" w:lineRule="auto"/>
      <w:ind w:left="0" w:firstLine="482"/>
    </w:pPr>
    <w:rPr>
      <w:rFonts w:ascii="Arial" w:hAnsi="Arial"/>
      <w:sz w:val="24"/>
    </w:rPr>
  </w:style>
  <w:style w:type="paragraph" w:customStyle="1" w:styleId="170">
    <w:name w:val="正文文本 21"/>
    <w:basedOn w:val="1"/>
    <w:qFormat/>
    <w:uiPriority w:val="0"/>
    <w:pPr>
      <w:adjustRightInd w:val="0"/>
      <w:spacing w:before="120" w:line="360" w:lineRule="auto"/>
      <w:ind w:firstLine="480"/>
    </w:pPr>
    <w:rPr>
      <w:sz w:val="24"/>
    </w:rPr>
  </w:style>
  <w:style w:type="paragraph" w:customStyle="1" w:styleId="171">
    <w:name w:val="样式1"/>
    <w:basedOn w:val="2"/>
    <w:qFormat/>
    <w:uiPriority w:val="0"/>
    <w:pPr>
      <w:tabs>
        <w:tab w:val="left" w:pos="720"/>
      </w:tabs>
      <w:spacing w:before="500" w:after="260" w:line="560" w:lineRule="atLeast"/>
      <w:ind w:left="420" w:hanging="420"/>
    </w:pPr>
  </w:style>
  <w:style w:type="paragraph" w:customStyle="1" w:styleId="172">
    <w:name w:val="正文4"/>
    <w:basedOn w:val="1"/>
    <w:qFormat/>
    <w:uiPriority w:val="0"/>
    <w:pPr>
      <w:tabs>
        <w:tab w:val="left" w:pos="1275"/>
      </w:tabs>
      <w:spacing w:before="60" w:after="60" w:line="360" w:lineRule="auto"/>
      <w:ind w:left="820" w:leftChars="400" w:hanging="705"/>
    </w:pPr>
    <w:rPr>
      <w:sz w:val="24"/>
    </w:rPr>
  </w:style>
  <w:style w:type="paragraph" w:customStyle="1" w:styleId="17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4">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75">
    <w:name w:val="文本框样式1"/>
    <w:basedOn w:val="1"/>
    <w:qFormat/>
    <w:uiPriority w:val="0"/>
    <w:pPr>
      <w:adjustRightInd w:val="0"/>
      <w:snapToGrid w:val="0"/>
      <w:spacing w:before="60" w:line="180" w:lineRule="exact"/>
      <w:jc w:val="center"/>
    </w:pPr>
    <w:rPr>
      <w:sz w:val="21"/>
    </w:rPr>
  </w:style>
  <w:style w:type="paragraph" w:customStyle="1" w:styleId="176">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附录1"/>
    <w:basedOn w:val="1"/>
    <w:qFormat/>
    <w:uiPriority w:val="0"/>
    <w:pPr>
      <w:tabs>
        <w:tab w:val="left" w:pos="1304"/>
      </w:tabs>
      <w:ind w:left="425" w:hanging="425"/>
      <w:outlineLvl w:val="0"/>
    </w:pPr>
    <w:rPr>
      <w:rFonts w:ascii="黑体" w:hAnsi="黑体" w:eastAsia="黑体"/>
      <w:b/>
      <w:sz w:val="44"/>
    </w:rPr>
  </w:style>
  <w:style w:type="paragraph" w:customStyle="1" w:styleId="17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9">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80">
    <w:name w:val="关键词"/>
    <w:basedOn w:val="1"/>
    <w:qFormat/>
    <w:uiPriority w:val="0"/>
    <w:pPr>
      <w:spacing w:line="360" w:lineRule="auto"/>
    </w:pPr>
    <w:rPr>
      <w:rFonts w:eastAsia="黑体"/>
      <w:sz w:val="20"/>
    </w:rPr>
  </w:style>
  <w:style w:type="paragraph" w:customStyle="1" w:styleId="181">
    <w:name w:val="Title - Date"/>
    <w:basedOn w:val="56"/>
    <w:qFormat/>
    <w:uiPriority w:val="0"/>
    <w:pPr>
      <w:spacing w:before="240" w:after="720"/>
    </w:pPr>
    <w:rPr>
      <w:sz w:val="28"/>
    </w:rPr>
  </w:style>
  <w:style w:type="paragraph" w:customStyle="1" w:styleId="18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3">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84">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7">
    <w:name w:val="Style Heading 3h3Heading 3 - oldLevel 3 HeadH3level_3PIM 3se..."/>
    <w:basedOn w:val="5"/>
    <w:qFormat/>
    <w:uiPriority w:val="0"/>
    <w:pPr>
      <w:numPr>
        <w:ilvl w:val="2"/>
        <w:numId w:val="9"/>
      </w:numPr>
      <w:tabs>
        <w:tab w:val="left" w:pos="709"/>
        <w:tab w:val="left" w:pos="1620"/>
      </w:tabs>
    </w:pPr>
  </w:style>
  <w:style w:type="paragraph" w:customStyle="1" w:styleId="188">
    <w:name w:val="样式4"/>
    <w:basedOn w:val="2"/>
    <w:qFormat/>
    <w:uiPriority w:val="0"/>
    <w:pPr>
      <w:adjustRightInd w:val="0"/>
      <w:snapToGrid w:val="0"/>
    </w:pPr>
  </w:style>
  <w:style w:type="paragraph" w:customStyle="1" w:styleId="189">
    <w:name w:val="摘要"/>
    <w:basedOn w:val="1"/>
    <w:qFormat/>
    <w:uiPriority w:val="0"/>
    <w:pPr>
      <w:spacing w:line="360" w:lineRule="auto"/>
    </w:pPr>
    <w:rPr>
      <w:rFonts w:eastAsia="黑体"/>
      <w:sz w:val="20"/>
    </w:rPr>
  </w:style>
  <w:style w:type="paragraph" w:customStyle="1" w:styleId="190">
    <w:name w:val="Char Char 字元 字元 字元 Char Char Char Char"/>
    <w:basedOn w:val="1"/>
    <w:qFormat/>
    <w:uiPriority w:val="0"/>
    <w:pPr>
      <w:adjustRightInd w:val="0"/>
      <w:spacing w:line="360" w:lineRule="auto"/>
    </w:pPr>
    <w:rPr>
      <w:kern w:val="0"/>
      <w:sz w:val="24"/>
    </w:rPr>
  </w:style>
  <w:style w:type="paragraph" w:customStyle="1" w:styleId="191">
    <w:name w:val="可研正文"/>
    <w:basedOn w:val="22"/>
    <w:qFormat/>
    <w:uiPriority w:val="0"/>
    <w:pPr>
      <w:adjustRightInd w:val="0"/>
      <w:snapToGrid w:val="0"/>
      <w:spacing w:line="440" w:lineRule="exact"/>
      <w:ind w:firstLine="567"/>
    </w:pPr>
    <w:rPr>
      <w:sz w:val="28"/>
    </w:rPr>
  </w:style>
  <w:style w:type="paragraph" w:customStyle="1" w:styleId="192">
    <w:name w:val="没有缩进（为图形使用）"/>
    <w:basedOn w:val="1"/>
    <w:qFormat/>
    <w:uiPriority w:val="0"/>
    <w:pPr>
      <w:spacing w:before="120" w:after="120" w:line="360" w:lineRule="auto"/>
    </w:pPr>
    <w:rPr>
      <w:sz w:val="24"/>
    </w:rPr>
  </w:style>
  <w:style w:type="paragraph" w:customStyle="1" w:styleId="193">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9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5">
    <w:name w:val="标书正文:  0.74 厘米"/>
    <w:basedOn w:val="1"/>
    <w:qFormat/>
    <w:uiPriority w:val="0"/>
    <w:pPr>
      <w:snapToGrid w:val="0"/>
      <w:spacing w:line="360" w:lineRule="auto"/>
      <w:ind w:firstLine="420"/>
    </w:pPr>
    <w:rPr>
      <w:sz w:val="24"/>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8">
    <w:name w:val="Char1 Char Char Char"/>
    <w:basedOn w:val="1"/>
    <w:qFormat/>
    <w:uiPriority w:val="0"/>
    <w:rPr>
      <w:rFonts w:ascii="Tahoma" w:hAnsi="Tahoma"/>
      <w:sz w:val="24"/>
    </w:rPr>
  </w:style>
  <w:style w:type="paragraph" w:customStyle="1" w:styleId="19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200">
    <w:name w:val="文章正文"/>
    <w:basedOn w:val="1"/>
    <w:qFormat/>
    <w:uiPriority w:val="0"/>
    <w:pPr>
      <w:ind w:firstLine="560" w:firstLineChars="200"/>
    </w:pPr>
    <w:rPr>
      <w:rFonts w:ascii="仿宋_GB2312" w:hAnsi="宋体" w:eastAsia="仿宋_GB2312"/>
      <w:color w:val="000000"/>
    </w:rPr>
  </w:style>
  <w:style w:type="paragraph" w:customStyle="1" w:styleId="201">
    <w:name w:val="样式 宋体 五号 两端对齐 行距: 单倍行距"/>
    <w:basedOn w:val="1"/>
    <w:qFormat/>
    <w:uiPriority w:val="0"/>
    <w:pPr>
      <w:adjustRightInd w:val="0"/>
    </w:pPr>
    <w:rPr>
      <w:rFonts w:ascii="宋体" w:hAnsi="宋体"/>
      <w:kern w:val="0"/>
      <w:sz w:val="21"/>
    </w:rPr>
  </w:style>
  <w:style w:type="paragraph" w:customStyle="1" w:styleId="202">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03">
    <w:name w:val="Char Char1 Char"/>
    <w:basedOn w:val="1"/>
    <w:qFormat/>
    <w:uiPriority w:val="0"/>
    <w:rPr>
      <w:rFonts w:ascii="Tahoma" w:hAnsi="Tahoma"/>
      <w:sz w:val="24"/>
      <w:szCs w:val="24"/>
    </w:rPr>
  </w:style>
  <w:style w:type="paragraph" w:customStyle="1" w:styleId="204">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05">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w:basedOn w:val="1"/>
    <w:qFormat/>
    <w:uiPriority w:val="0"/>
    <w:pPr>
      <w:spacing w:line="240" w:lineRule="atLeast"/>
      <w:ind w:left="420" w:firstLine="420"/>
    </w:pPr>
    <w:rPr>
      <w:kern w:val="0"/>
      <w:sz w:val="21"/>
    </w:rPr>
  </w:style>
  <w:style w:type="paragraph" w:customStyle="1" w:styleId="207">
    <w:name w:val="_"/>
    <w:basedOn w:val="1"/>
    <w:qFormat/>
    <w:uiPriority w:val="0"/>
    <w:pPr>
      <w:adjustRightInd w:val="0"/>
      <w:spacing w:line="360" w:lineRule="auto"/>
      <w:ind w:left="480" w:firstLine="200" w:firstLineChars="200"/>
    </w:pPr>
    <w:rPr>
      <w:kern w:val="0"/>
      <w:sz w:val="24"/>
    </w:rPr>
  </w:style>
  <w:style w:type="paragraph" w:customStyle="1" w:styleId="208">
    <w:name w:val="Char1 Char Char Char1"/>
    <w:basedOn w:val="1"/>
    <w:qFormat/>
    <w:uiPriority w:val="0"/>
    <w:rPr>
      <w:rFonts w:ascii="Tahoma" w:hAnsi="Tahoma"/>
      <w:sz w:val="30"/>
    </w:rPr>
  </w:style>
  <w:style w:type="paragraph" w:customStyle="1" w:styleId="209">
    <w:name w:val="表头文本"/>
    <w:qFormat/>
    <w:uiPriority w:val="0"/>
    <w:pPr>
      <w:jc w:val="center"/>
    </w:pPr>
    <w:rPr>
      <w:rFonts w:ascii="Arial" w:hAnsi="Arial" w:eastAsia="宋体" w:cs="Times New Roman"/>
      <w:b/>
      <w:sz w:val="21"/>
      <w:lang w:val="en-US" w:eastAsia="zh-CN" w:bidi="ar-SA"/>
    </w:rPr>
  </w:style>
  <w:style w:type="paragraph" w:customStyle="1" w:styleId="21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1">
    <w:name w:val="Char Char Char"/>
    <w:basedOn w:val="1"/>
    <w:qFormat/>
    <w:uiPriority w:val="0"/>
    <w:rPr>
      <w:rFonts w:ascii="Tahoma" w:hAnsi="Tahoma"/>
      <w:sz w:val="24"/>
    </w:rPr>
  </w:style>
  <w:style w:type="paragraph" w:customStyle="1" w:styleId="21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3">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默认段落字体 Para Char Char Char Char Char Char Char"/>
    <w:basedOn w:val="1"/>
    <w:qFormat/>
    <w:uiPriority w:val="0"/>
    <w:rPr>
      <w:rFonts w:ascii="Tahoma" w:hAnsi="Tahoma"/>
      <w:sz w:val="24"/>
    </w:rPr>
  </w:style>
  <w:style w:type="paragraph" w:customStyle="1" w:styleId="216">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8">
    <w:name w:val="首行缩进"/>
    <w:basedOn w:val="1"/>
    <w:qFormat/>
    <w:uiPriority w:val="0"/>
    <w:pPr>
      <w:numPr>
        <w:ilvl w:val="0"/>
        <w:numId w:val="11"/>
      </w:numPr>
      <w:spacing w:line="360" w:lineRule="auto"/>
    </w:pPr>
    <w:rPr>
      <w:rFonts w:eastAsia="仿宋_GB2312"/>
    </w:rPr>
  </w:style>
  <w:style w:type="paragraph" w:customStyle="1" w:styleId="219">
    <w:name w:val="正文字缩2字"/>
    <w:basedOn w:val="1"/>
    <w:qFormat/>
    <w:uiPriority w:val="0"/>
    <w:pPr>
      <w:spacing w:before="60" w:after="60" w:line="360" w:lineRule="auto"/>
      <w:ind w:left="200" w:leftChars="200" w:firstLine="200" w:firstLineChars="200"/>
    </w:pPr>
    <w:rPr>
      <w:sz w:val="24"/>
    </w:rPr>
  </w:style>
  <w:style w:type="paragraph" w:customStyle="1" w:styleId="220">
    <w:name w:val="正文表格"/>
    <w:basedOn w:val="1"/>
    <w:qFormat/>
    <w:uiPriority w:val="0"/>
    <w:pPr>
      <w:adjustRightInd w:val="0"/>
      <w:spacing w:before="40" w:after="40"/>
    </w:pPr>
    <w:rPr>
      <w:sz w:val="24"/>
    </w:rPr>
  </w:style>
  <w:style w:type="paragraph" w:customStyle="1" w:styleId="221">
    <w:name w:val="表文字"/>
    <w:qFormat/>
    <w:uiPriority w:val="0"/>
    <w:rPr>
      <w:rFonts w:ascii="宋体" w:hAnsi="Times New Roman" w:eastAsia="宋体" w:cs="Times New Roman"/>
      <w:kern w:val="2"/>
      <w:lang w:val="en-US" w:eastAsia="zh-CN" w:bidi="ar-SA"/>
    </w:rPr>
  </w:style>
  <w:style w:type="paragraph" w:customStyle="1" w:styleId="222">
    <w:name w:val="表格内文字"/>
    <w:basedOn w:val="30"/>
    <w:qFormat/>
    <w:uiPriority w:val="0"/>
    <w:pPr>
      <w:adjustRightInd w:val="0"/>
    </w:pPr>
    <w:rPr>
      <w:color w:val="000000"/>
      <w:lang w:val="en-GB"/>
    </w:rPr>
  </w:style>
  <w:style w:type="paragraph" w:customStyle="1" w:styleId="223">
    <w:name w:val="正文文本缩进 21"/>
    <w:basedOn w:val="1"/>
    <w:qFormat/>
    <w:uiPriority w:val="0"/>
    <w:pPr>
      <w:adjustRightInd w:val="0"/>
      <w:spacing w:before="120"/>
      <w:ind w:firstLine="420"/>
    </w:pPr>
    <w:rPr>
      <w:sz w:val="24"/>
    </w:rPr>
  </w:style>
  <w:style w:type="paragraph" w:customStyle="1" w:styleId="224">
    <w:name w:val="标题无"/>
    <w:basedOn w:val="1"/>
    <w:qFormat/>
    <w:uiPriority w:val="0"/>
    <w:pPr>
      <w:spacing w:line="360" w:lineRule="auto"/>
    </w:pPr>
    <w:rPr>
      <w:sz w:val="24"/>
    </w:rPr>
  </w:style>
  <w:style w:type="paragraph" w:customStyle="1" w:styleId="225">
    <w:name w:val="af"/>
    <w:basedOn w:val="1"/>
    <w:qFormat/>
    <w:uiPriority w:val="0"/>
    <w:pPr>
      <w:widowControl/>
      <w:spacing w:line="300" w:lineRule="atLeast"/>
      <w:jc w:val="left"/>
    </w:pPr>
    <w:rPr>
      <w:rFonts w:ascii="宋体" w:hAnsi="宋体"/>
      <w:kern w:val="0"/>
      <w:sz w:val="18"/>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28">
    <w:name w:val="正文（首行不缩进）"/>
    <w:basedOn w:val="1"/>
    <w:qFormat/>
    <w:uiPriority w:val="0"/>
    <w:pPr>
      <w:autoSpaceDE w:val="0"/>
      <w:autoSpaceDN w:val="0"/>
      <w:adjustRightInd w:val="0"/>
      <w:spacing w:line="360" w:lineRule="auto"/>
      <w:jc w:val="left"/>
    </w:pPr>
    <w:rPr>
      <w:kern w:val="0"/>
      <w:sz w:val="21"/>
    </w:rPr>
  </w:style>
  <w:style w:type="paragraph" w:customStyle="1" w:styleId="229">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0">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31">
    <w:name w:val="表头样式"/>
    <w:basedOn w:val="1"/>
    <w:qFormat/>
    <w:uiPriority w:val="0"/>
    <w:pPr>
      <w:autoSpaceDE w:val="0"/>
      <w:autoSpaceDN w:val="0"/>
      <w:adjustRightInd w:val="0"/>
      <w:spacing w:line="360" w:lineRule="auto"/>
      <w:jc w:val="left"/>
    </w:pPr>
    <w:rPr>
      <w:b/>
      <w:kern w:val="0"/>
      <w:sz w:val="21"/>
    </w:rPr>
  </w:style>
  <w:style w:type="paragraph" w:customStyle="1" w:styleId="232">
    <w:name w:val="图片文字"/>
    <w:basedOn w:val="1"/>
    <w:qFormat/>
    <w:uiPriority w:val="0"/>
    <w:pPr>
      <w:spacing w:line="240" w:lineRule="atLeast"/>
      <w:jc w:val="center"/>
    </w:pPr>
    <w:rPr>
      <w:sz w:val="21"/>
    </w:rPr>
  </w:style>
  <w:style w:type="paragraph" w:customStyle="1" w:styleId="233">
    <w:name w:val="xl23"/>
    <w:basedOn w:val="1"/>
    <w:qFormat/>
    <w:uiPriority w:val="0"/>
    <w:pPr>
      <w:widowControl/>
      <w:spacing w:before="100" w:beforeAutospacing="1" w:after="100" w:afterAutospacing="1" w:line="360" w:lineRule="auto"/>
    </w:pPr>
    <w:rPr>
      <w:kern w:val="0"/>
      <w:sz w:val="24"/>
    </w:rPr>
  </w:style>
  <w:style w:type="paragraph" w:customStyle="1" w:styleId="234">
    <w:name w:val="附录3"/>
    <w:basedOn w:val="1"/>
    <w:qFormat/>
    <w:uiPriority w:val="0"/>
    <w:pPr>
      <w:tabs>
        <w:tab w:val="left" w:pos="851"/>
      </w:tabs>
      <w:ind w:left="425" w:hanging="425"/>
      <w:outlineLvl w:val="2"/>
    </w:pPr>
    <w:rPr>
      <w:rFonts w:eastAsia="黑体"/>
      <w:b/>
      <w:sz w:val="32"/>
    </w:rPr>
  </w:style>
  <w:style w:type="paragraph" w:customStyle="1" w:styleId="235">
    <w:name w:val="È±Ê¡ÎÄ±¾"/>
    <w:basedOn w:val="1"/>
    <w:qFormat/>
    <w:uiPriority w:val="0"/>
    <w:pPr>
      <w:widowControl/>
      <w:overflowPunct w:val="0"/>
      <w:autoSpaceDE w:val="0"/>
      <w:autoSpaceDN w:val="0"/>
      <w:adjustRightInd w:val="0"/>
      <w:jc w:val="left"/>
    </w:pPr>
    <w:rPr>
      <w:kern w:val="0"/>
      <w:sz w:val="24"/>
    </w:rPr>
  </w:style>
  <w:style w:type="paragraph" w:customStyle="1" w:styleId="236">
    <w:name w:val="首行缩进 1"/>
    <w:basedOn w:val="1"/>
    <w:qFormat/>
    <w:uiPriority w:val="0"/>
    <w:pPr>
      <w:spacing w:after="120" w:line="360" w:lineRule="auto"/>
      <w:ind w:firstLine="200" w:firstLineChars="200"/>
    </w:pPr>
    <w:rPr>
      <w:sz w:val="24"/>
    </w:rPr>
  </w:style>
  <w:style w:type="paragraph" w:customStyle="1" w:styleId="237">
    <w:name w:val="Char11"/>
    <w:basedOn w:val="1"/>
    <w:qFormat/>
    <w:uiPriority w:val="0"/>
    <w:pPr>
      <w:spacing w:line="240" w:lineRule="atLeast"/>
      <w:ind w:left="420" w:firstLine="420"/>
    </w:pPr>
    <w:rPr>
      <w:kern w:val="0"/>
      <w:sz w:val="21"/>
    </w:rPr>
  </w:style>
  <w:style w:type="paragraph" w:customStyle="1" w:styleId="23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0">
    <w:name w:val="样式1xz"/>
    <w:basedOn w:val="1"/>
    <w:qFormat/>
    <w:uiPriority w:val="0"/>
    <w:pPr>
      <w:tabs>
        <w:tab w:val="left" w:pos="1050"/>
        <w:tab w:val="right" w:leader="dot" w:pos="8296"/>
      </w:tabs>
    </w:pPr>
    <w:rPr>
      <w:caps/>
      <w:spacing w:val="20"/>
      <w:sz w:val="24"/>
    </w:rPr>
  </w:style>
  <w:style w:type="paragraph" w:customStyle="1" w:styleId="24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2">
    <w:name w:val="Char1"/>
    <w:basedOn w:val="1"/>
    <w:qFormat/>
    <w:uiPriority w:val="0"/>
    <w:rPr>
      <w:sz w:val="21"/>
    </w:rPr>
  </w:style>
  <w:style w:type="paragraph" w:customStyle="1" w:styleId="243">
    <w:name w:val="Note"/>
    <w:basedOn w:val="1"/>
    <w:qFormat/>
    <w:uiPriority w:val="0"/>
    <w:pPr>
      <w:pBdr>
        <w:top w:val="single" w:color="auto" w:sz="12" w:space="3"/>
        <w:bottom w:val="single" w:color="auto" w:sz="12" w:space="3"/>
      </w:pBdr>
      <w:spacing w:line="360" w:lineRule="auto"/>
    </w:pPr>
    <w:rPr>
      <w:sz w:val="24"/>
    </w:rPr>
  </w:style>
  <w:style w:type="paragraph" w:customStyle="1" w:styleId="244">
    <w:name w:val="Char Char Char Char Char Char Char Char Char Char Char Char Char Char Char Char"/>
    <w:basedOn w:val="1"/>
    <w:qFormat/>
    <w:uiPriority w:val="0"/>
    <w:pPr>
      <w:tabs>
        <w:tab w:val="left" w:pos="360"/>
      </w:tabs>
    </w:pPr>
    <w:rPr>
      <w:sz w:val="24"/>
    </w:rPr>
  </w:style>
  <w:style w:type="paragraph" w:customStyle="1" w:styleId="245">
    <w:name w:val="样式 宋体 五号 行距: 单倍行距"/>
    <w:basedOn w:val="1"/>
    <w:qFormat/>
    <w:uiPriority w:val="0"/>
    <w:pPr>
      <w:adjustRightInd w:val="0"/>
      <w:jc w:val="left"/>
    </w:pPr>
    <w:rPr>
      <w:rFonts w:ascii="宋体" w:hAnsi="宋体"/>
      <w:kern w:val="0"/>
      <w:sz w:val="21"/>
    </w:rPr>
  </w:style>
  <w:style w:type="paragraph" w:customStyle="1" w:styleId="246">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49">
    <w:name w:val="图例"/>
    <w:basedOn w:val="1"/>
    <w:qFormat/>
    <w:uiPriority w:val="0"/>
    <w:pPr>
      <w:spacing w:before="120" w:after="120" w:line="360" w:lineRule="auto"/>
      <w:jc w:val="center"/>
    </w:pPr>
    <w:rPr>
      <w:rFonts w:eastAsia="仿宋_GB2312"/>
      <w:b/>
      <w:sz w:val="24"/>
    </w:rPr>
  </w:style>
  <w:style w:type="table" w:customStyle="1" w:styleId="250">
    <w:name w:val="Table Normal"/>
    <w:semiHidden/>
    <w:unhideWhenUsed/>
    <w:qFormat/>
    <w:uiPriority w:val="0"/>
    <w:tblPr>
      <w:tblCellMar>
        <w:top w:w="0" w:type="dxa"/>
        <w:left w:w="0" w:type="dxa"/>
        <w:bottom w:w="0" w:type="dxa"/>
        <w:right w:w="0" w:type="dxa"/>
      </w:tblCellMar>
    </w:tblPr>
  </w:style>
  <w:style w:type="paragraph" w:customStyle="1" w:styleId="251">
    <w:name w:val="标题 21"/>
    <w:basedOn w:val="34"/>
    <w:next w:val="34"/>
    <w:qFormat/>
    <w:uiPriority w:val="0"/>
    <w:pPr>
      <w:keepNext/>
      <w:keepLines/>
      <w:outlineLvl w:val="1"/>
    </w:pPr>
    <w:rPr>
      <w:rFonts w:ascii="Arial" w:hAnsi="Arial" w:eastAsia="黑体" w:cs="Arial"/>
      <w:b/>
      <w:sz w:val="32"/>
    </w:rPr>
  </w:style>
  <w:style w:type="paragraph" w:customStyle="1" w:styleId="252">
    <w:name w:val="Table Paragraph"/>
    <w:basedOn w:val="1"/>
    <w:qFormat/>
    <w:uiPriority w:val="1"/>
    <w:pPr>
      <w:jc w:val="left"/>
    </w:pPr>
    <w:rPr>
      <w:rFonts w:ascii="宋体" w:hAnsi="宋体" w:cs="宋体"/>
      <w:kern w:val="0"/>
      <w:lang w:eastAsia="en-US"/>
    </w:rPr>
  </w:style>
  <w:style w:type="paragraph" w:customStyle="1" w:styleId="2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4">
    <w:name w:val="电建正文"/>
    <w:basedOn w:val="255"/>
    <w:qFormat/>
    <w:uiPriority w:val="0"/>
    <w:pPr>
      <w:tabs>
        <w:tab w:val="left" w:pos="720"/>
      </w:tabs>
      <w:spacing w:line="360" w:lineRule="auto"/>
      <w:ind w:firstLine="200" w:firstLineChars="200"/>
    </w:pPr>
    <w:rPr>
      <w:rFonts w:ascii="Tahoma" w:hAnsi="Tahoma"/>
      <w:sz w:val="24"/>
    </w:rPr>
  </w:style>
  <w:style w:type="paragraph" w:customStyle="1" w:styleId="255">
    <w:name w:val="List First"/>
    <w:basedOn w:val="42"/>
    <w:next w:val="42"/>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12537</Words>
  <Characters>13555</Characters>
  <Lines>120</Lines>
  <Paragraphs>34</Paragraphs>
  <TotalTime>10</TotalTime>
  <ScaleCrop>false</ScaleCrop>
  <LinksUpToDate>false</LinksUpToDate>
  <CharactersWithSpaces>14679</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2022-06-17T08:41:00Z</dcterms:created>
  <dc:creator>Administrator</dc:creator>
  <cp:lastModifiedBy>YBY</cp:lastModifiedBy>
  <cp:lastPrinted>2024-10-25T00:54:00Z</cp:lastPrinted>
  <dcterms:modified xsi:type="dcterms:W3CDTF">2025-07-21T01:14:06Z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CF7F86C3C0BF4B06A52C4C6BCEE84934</vt:lpwstr>
  </property>
  <property fmtid="{D5CDD505-2E9C-101B-9397-08002B2CF9AE}" pid="4" name="KSOTemplateDocerSaveRecord">
    <vt:lpwstr>eyJoZGlkIjoiOGMyZjdjMjA5Yzk2MGFmOWVlNTA5MTc1OGFiMzQwMzAiLCJ1c2VySWQiOiI1MDU5MTA3NDEifQ==</vt:lpwstr>
  </property>
</Properties>
</file>