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color w:val="auto"/>
          <w:highlight w:val="none"/>
          <w:lang w:val="en-US" w:eastAsia="zh-CN"/>
        </w:rPr>
      </w:pPr>
      <w:bookmarkStart w:id="293" w:name="_GoBack"/>
      <w:bookmarkEnd w:id="293"/>
      <w:r>
        <w:rPr>
          <w:rFonts w:hint="eastAsia" w:asciiTheme="minorEastAsia" w:hAnsiTheme="minorEastAsia" w:eastAsiaTheme="minorEastAsia" w:cstheme="minorEastAsia"/>
          <w:color w:val="auto"/>
          <w:highlight w:val="none"/>
          <w:lang w:val="en-US" w:eastAsia="zh-CN"/>
        </w:rPr>
        <w:t xml:space="preserve"> </w:t>
      </w:r>
    </w:p>
    <w:p>
      <w:pPr>
        <w:jc w:val="left"/>
        <w:rPr>
          <w:rFonts w:hint="eastAsia" w:asciiTheme="minorEastAsia" w:hAnsiTheme="minorEastAsia" w:eastAsiaTheme="minorEastAsia" w:cstheme="minorEastAsia"/>
          <w:color w:val="auto"/>
          <w:highlight w:val="none"/>
        </w:rPr>
      </w:pPr>
    </w:p>
    <w:p>
      <w:pPr>
        <w:jc w:val="left"/>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84"/>
          <w:szCs w:val="84"/>
          <w:highlight w:val="none"/>
        </w:rPr>
        <w:t>竞争性比选文件</w:t>
      </w:r>
    </w:p>
    <w:p>
      <w:pPr>
        <w:spacing w:line="700" w:lineRule="exact"/>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32"/>
          <w:szCs w:val="32"/>
          <w:highlight w:val="none"/>
        </w:rPr>
        <w:t>（综合评分法）</w:t>
      </w:r>
    </w:p>
    <w:p>
      <w:pPr>
        <w:spacing w:line="700" w:lineRule="exact"/>
        <w:rPr>
          <w:rFonts w:hint="eastAsia" w:asciiTheme="minorEastAsia" w:hAnsiTheme="minorEastAsia" w:eastAsiaTheme="minorEastAsia" w:cstheme="minorEastAsia"/>
          <w:color w:val="auto"/>
          <w:sz w:val="32"/>
          <w:highlight w:val="none"/>
        </w:rPr>
      </w:pPr>
    </w:p>
    <w:p>
      <w:pPr>
        <w:rPr>
          <w:rFonts w:hint="eastAsia" w:asciiTheme="minorEastAsia" w:hAnsiTheme="minorEastAsia" w:eastAsiaTheme="minorEastAsia" w:cstheme="minorEastAsia"/>
          <w:color w:val="auto"/>
          <w:highlight w:val="none"/>
        </w:rPr>
      </w:pPr>
    </w:p>
    <w:p>
      <w:pPr>
        <w:spacing w:line="700" w:lineRule="exact"/>
        <w:rPr>
          <w:rFonts w:hint="eastAsia" w:asciiTheme="minorEastAsia" w:hAnsiTheme="minorEastAsia" w:eastAsiaTheme="minorEastAsia" w:cstheme="minorEastAsia"/>
          <w:color w:val="auto"/>
          <w:sz w:val="32"/>
          <w:highlight w:val="none"/>
        </w:rPr>
      </w:pPr>
    </w:p>
    <w:p>
      <w:pPr>
        <w:pStyle w:val="2"/>
        <w:rPr>
          <w:rFonts w:hint="eastAsia" w:asciiTheme="minorEastAsia" w:hAnsiTheme="minorEastAsia" w:eastAsiaTheme="minorEastAsia" w:cstheme="minorEastAsia"/>
          <w:color w:val="auto"/>
          <w:highlight w:val="none"/>
        </w:rPr>
      </w:pPr>
    </w:p>
    <w:p>
      <w:pPr>
        <w:spacing w:line="500" w:lineRule="exact"/>
        <w:ind w:firstLine="960" w:firstLineChars="300"/>
        <w:outlineLvl w:val="0"/>
        <w:rPr>
          <w:rFonts w:hint="default"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项目编号：HC-CQZC-2025招字034</w:t>
      </w:r>
    </w:p>
    <w:p>
      <w:pPr>
        <w:spacing w:line="500" w:lineRule="exact"/>
        <w:ind w:left="1957" w:leftChars="356" w:hanging="960" w:hangingChars="300"/>
        <w:jc w:val="left"/>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bidi="ar-SA"/>
        </w:rPr>
        <w:t>项目名称：重庆园博园萌宠乐园项目</w:t>
      </w:r>
    </w:p>
    <w:p>
      <w:pPr>
        <w:pStyle w:val="2"/>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color w:val="auto"/>
          <w:sz w:val="32"/>
          <w:szCs w:val="32"/>
          <w:highlight w:val="none"/>
        </w:rPr>
      </w:pPr>
    </w:p>
    <w:p>
      <w:pPr>
        <w:pStyle w:val="2"/>
        <w:rPr>
          <w:rFonts w:hint="eastAsia" w:asciiTheme="minorEastAsia" w:hAnsiTheme="minorEastAsia" w:eastAsiaTheme="minorEastAsia" w:cstheme="minorEastAsia"/>
          <w:color w:val="auto"/>
          <w:sz w:val="32"/>
          <w:szCs w:val="32"/>
          <w:highlight w:val="none"/>
        </w:rPr>
      </w:pPr>
    </w:p>
    <w:p>
      <w:pPr>
        <w:pStyle w:val="80"/>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b/>
          <w:color w:val="auto"/>
          <w:sz w:val="32"/>
          <w:szCs w:val="32"/>
          <w:highlight w:val="none"/>
        </w:rPr>
      </w:pPr>
    </w:p>
    <w:p>
      <w:pPr>
        <w:spacing w:line="500" w:lineRule="exact"/>
        <w:ind w:firstLine="960" w:firstLineChars="300"/>
        <w:outlineLvl w:val="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 xml:space="preserve">比   选   </w:t>
      </w:r>
      <w:r>
        <w:rPr>
          <w:rFonts w:hint="eastAsia" w:asciiTheme="minorEastAsia" w:hAnsiTheme="minorEastAsia" w:eastAsiaTheme="minorEastAsia" w:cstheme="minorEastAsia"/>
          <w:color w:val="auto"/>
          <w:sz w:val="32"/>
          <w:szCs w:val="32"/>
          <w:highlight w:val="none"/>
        </w:rPr>
        <w:t>人：</w:t>
      </w:r>
      <w:r>
        <w:rPr>
          <w:rFonts w:hint="eastAsia" w:asciiTheme="minorEastAsia" w:hAnsiTheme="minorEastAsia" w:eastAsiaTheme="minorEastAsia" w:cstheme="minorEastAsia"/>
          <w:color w:val="auto"/>
          <w:sz w:val="32"/>
          <w:szCs w:val="32"/>
          <w:highlight w:val="none"/>
          <w:lang w:eastAsia="zh-CN"/>
        </w:rPr>
        <w:t>重庆市园博园管理处</w:t>
      </w:r>
    </w:p>
    <w:p>
      <w:pPr>
        <w:spacing w:line="500" w:lineRule="exact"/>
        <w:ind w:firstLine="960" w:firstLineChars="300"/>
        <w:outlineLvl w:val="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比选代理机构</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华春建设工程项目管理有限责任公司</w:t>
      </w:r>
    </w:p>
    <w:p>
      <w:pPr>
        <w:spacing w:line="720" w:lineRule="exact"/>
        <w:jc w:val="center"/>
        <w:outlineLvl w:val="0"/>
        <w:rPr>
          <w:rFonts w:hint="eastAsia" w:asciiTheme="minorEastAsia" w:hAnsiTheme="minorEastAsia" w:eastAsiaTheme="minorEastAsia" w:cstheme="minorEastAsia"/>
          <w:color w:val="auto"/>
          <w:sz w:val="32"/>
          <w:szCs w:val="32"/>
          <w:highlight w:val="none"/>
        </w:rPr>
      </w:pPr>
    </w:p>
    <w:p>
      <w:pPr>
        <w:spacing w:line="720" w:lineRule="exact"/>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二〇二</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月</w:t>
      </w:r>
    </w:p>
    <w:p>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start="1"/>
          <w:cols w:space="720" w:num="1"/>
          <w:docGrid w:linePitch="381" w:charSpace="-5735"/>
        </w:sectPr>
      </w:pPr>
    </w:p>
    <w:p>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pPr>
        <w:pStyle w:val="48"/>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_Toc29051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_Toc29051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_Toc29419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一、竞争性比选内容</w:t>
      </w:r>
      <w:r>
        <w:rPr>
          <w:color w:val="auto"/>
          <w:highlight w:val="none"/>
        </w:rPr>
        <w:tab/>
      </w:r>
      <w:r>
        <w:rPr>
          <w:color w:val="auto"/>
          <w:highlight w:val="none"/>
        </w:rPr>
        <w:fldChar w:fldCharType="begin"/>
      </w:r>
      <w:r>
        <w:rPr>
          <w:color w:val="auto"/>
          <w:highlight w:val="none"/>
        </w:rPr>
        <w:instrText xml:space="preserve"> PAGEREF _Toc29419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_Toc27603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二</w:t>
      </w:r>
      <w:r>
        <w:rPr>
          <w:rFonts w:hint="eastAsia" w:asciiTheme="minorEastAsia" w:hAnsiTheme="minorEastAsia" w:eastAsiaTheme="minorEastAsia" w:cstheme="minorEastAsia"/>
          <w:color w:val="auto"/>
          <w:highlight w:val="none"/>
        </w:rPr>
        <w:t>、供应商资格条件</w:t>
      </w:r>
      <w:r>
        <w:rPr>
          <w:color w:val="auto"/>
          <w:highlight w:val="none"/>
        </w:rPr>
        <w:tab/>
      </w:r>
      <w:r>
        <w:rPr>
          <w:color w:val="auto"/>
          <w:highlight w:val="none"/>
        </w:rPr>
        <w:fldChar w:fldCharType="begin"/>
      </w:r>
      <w:r>
        <w:rPr>
          <w:color w:val="auto"/>
          <w:highlight w:val="none"/>
        </w:rPr>
        <w:instrText xml:space="preserve"> PAGEREF _Toc27603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_Toc4536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highlight w:val="none"/>
        </w:rPr>
        <w:t>、比选采购有关说明</w:t>
      </w:r>
      <w:r>
        <w:rPr>
          <w:color w:val="auto"/>
          <w:highlight w:val="none"/>
        </w:rPr>
        <w:tab/>
      </w:r>
      <w:r>
        <w:rPr>
          <w:color w:val="auto"/>
          <w:highlight w:val="none"/>
        </w:rPr>
        <w:fldChar w:fldCharType="begin"/>
      </w:r>
      <w:r>
        <w:rPr>
          <w:color w:val="auto"/>
          <w:highlight w:val="none"/>
        </w:rPr>
        <w:instrText xml:space="preserve"> PAGEREF _Toc4536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_Toc15409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保证金</w:t>
      </w:r>
      <w:r>
        <w:rPr>
          <w:color w:val="auto"/>
          <w:highlight w:val="none"/>
        </w:rPr>
        <w:tab/>
      </w:r>
      <w:r>
        <w:rPr>
          <w:color w:val="auto"/>
          <w:highlight w:val="none"/>
        </w:rPr>
        <w:fldChar w:fldCharType="begin"/>
      </w:r>
      <w:r>
        <w:rPr>
          <w:color w:val="auto"/>
          <w:highlight w:val="none"/>
        </w:rPr>
        <w:instrText xml:space="preserve"> PAGEREF _Toc15409 \h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_Toc2811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五</w:t>
      </w:r>
      <w:r>
        <w:rPr>
          <w:rFonts w:hint="eastAsia" w:asciiTheme="minorEastAsia" w:hAnsiTheme="minorEastAsia" w:eastAsiaTheme="minorEastAsia" w:cstheme="minorEastAsia"/>
          <w:color w:val="auto"/>
          <w:highlight w:val="none"/>
        </w:rPr>
        <w:t>、其它有关规定</w:t>
      </w:r>
      <w:r>
        <w:rPr>
          <w:color w:val="auto"/>
          <w:highlight w:val="none"/>
        </w:rPr>
        <w:tab/>
      </w:r>
      <w:r>
        <w:rPr>
          <w:color w:val="auto"/>
          <w:highlight w:val="none"/>
        </w:rPr>
        <w:fldChar w:fldCharType="begin"/>
      </w:r>
      <w:r>
        <w:rPr>
          <w:color w:val="auto"/>
          <w:highlight w:val="none"/>
        </w:rPr>
        <w:instrText xml:space="preserve"> PAGEREF _Toc2811 \h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_Toc3054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_Toc3054 \h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_Toc31059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_Toc31059 \h </w:instrText>
      </w:r>
      <w:r>
        <w:rPr>
          <w:color w:val="auto"/>
          <w:highlight w:val="none"/>
        </w:rPr>
        <w:fldChar w:fldCharType="separate"/>
      </w:r>
      <w:r>
        <w:rPr>
          <w:color w:val="auto"/>
          <w:highlight w:val="none"/>
        </w:rPr>
        <w:t>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_Toc9443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_Toc9443 \h </w:instrText>
      </w:r>
      <w:r>
        <w:rPr>
          <w:color w:val="auto"/>
          <w:highlight w:val="none"/>
        </w:rPr>
        <w:fldChar w:fldCharType="separate"/>
      </w:r>
      <w:r>
        <w:rPr>
          <w:color w:val="auto"/>
          <w:highlight w:val="none"/>
        </w:rPr>
        <w:t>11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_Toc20812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第四篇  比选程序及方法、评审标准、无效响应和</w:t>
      </w:r>
      <w:r>
        <w:rPr>
          <w:rFonts w:hint="eastAsia" w:asciiTheme="minorEastAsia" w:hAnsiTheme="minorEastAsia" w:eastAsiaTheme="minorEastAsia" w:cstheme="minorEastAsia"/>
          <w:bCs/>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_Toc20812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_Toc31047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一、比选程序及方法</w:t>
      </w:r>
      <w:r>
        <w:rPr>
          <w:color w:val="auto"/>
          <w:highlight w:val="none"/>
        </w:rPr>
        <w:tab/>
      </w:r>
      <w:r>
        <w:rPr>
          <w:color w:val="auto"/>
          <w:highlight w:val="none"/>
        </w:rPr>
        <w:fldChar w:fldCharType="begin"/>
      </w:r>
      <w:r>
        <w:rPr>
          <w:color w:val="auto"/>
          <w:highlight w:val="none"/>
        </w:rPr>
        <w:instrText xml:space="preserve"> PAGEREF _Toc31047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_Toc15678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_Toc15678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_Toc8592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_Toc8592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_Toc30757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_Toc30757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_Toc27960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_Toc27960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_Toc22841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一、比选费用</w:t>
      </w:r>
      <w:r>
        <w:rPr>
          <w:color w:val="auto"/>
          <w:highlight w:val="none"/>
        </w:rPr>
        <w:tab/>
      </w:r>
      <w:r>
        <w:rPr>
          <w:color w:val="auto"/>
          <w:highlight w:val="none"/>
        </w:rPr>
        <w:fldChar w:fldCharType="begin"/>
      </w:r>
      <w:r>
        <w:rPr>
          <w:color w:val="auto"/>
          <w:highlight w:val="none"/>
        </w:rPr>
        <w:instrText xml:space="preserve"> PAGEREF _Toc22841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_Toc21109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二、竞争性比选文件</w:t>
      </w:r>
      <w:r>
        <w:rPr>
          <w:color w:val="auto"/>
          <w:highlight w:val="none"/>
        </w:rPr>
        <w:tab/>
      </w:r>
      <w:r>
        <w:rPr>
          <w:color w:val="auto"/>
          <w:highlight w:val="none"/>
        </w:rPr>
        <w:fldChar w:fldCharType="begin"/>
      </w:r>
      <w:r>
        <w:rPr>
          <w:color w:val="auto"/>
          <w:highlight w:val="none"/>
        </w:rPr>
        <w:instrText xml:space="preserve"> PAGEREF _Toc21109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三、参选要求</w:t>
      </w:r>
      <w:r>
        <w:rPr>
          <w:color w:val="auto"/>
          <w:highlight w:val="none"/>
        </w:rPr>
        <w:tab/>
      </w:r>
      <w:r>
        <w:rPr>
          <w:color w:val="auto"/>
          <w:highlight w:val="none"/>
        </w:rPr>
        <w:fldChar w:fldCharType="begin"/>
      </w:r>
      <w:r>
        <w:rPr>
          <w:color w:val="auto"/>
          <w:highlight w:val="none"/>
        </w:rPr>
        <w:instrText xml:space="preserve"> PAGEREF _Toc4662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_Toc26377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eastAsia="zh-CN"/>
        </w:rPr>
        <w:t>成交供应商</w:t>
      </w:r>
      <w:r>
        <w:rPr>
          <w:rFonts w:hint="eastAsia" w:asciiTheme="minorEastAsia" w:hAnsiTheme="minorEastAsia" w:eastAsiaTheme="minorEastAsia" w:cstheme="minorEastAsia"/>
          <w:color w:val="auto"/>
          <w:highlight w:val="none"/>
        </w:rPr>
        <w:t>的确认和变更</w:t>
      </w:r>
      <w:r>
        <w:rPr>
          <w:color w:val="auto"/>
          <w:highlight w:val="none"/>
        </w:rPr>
        <w:tab/>
      </w:r>
      <w:r>
        <w:rPr>
          <w:color w:val="auto"/>
          <w:highlight w:val="none"/>
        </w:rPr>
        <w:fldChar w:fldCharType="begin"/>
      </w:r>
      <w:r>
        <w:rPr>
          <w:color w:val="auto"/>
          <w:highlight w:val="none"/>
        </w:rPr>
        <w:instrText xml:space="preserve"> PAGEREF _Toc26377 \h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_Toc10489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_Toc10489 \h </w:instrText>
      </w:r>
      <w:r>
        <w:rPr>
          <w:color w:val="auto"/>
          <w:highlight w:val="none"/>
        </w:rPr>
        <w:fldChar w:fldCharType="separate"/>
      </w:r>
      <w:r>
        <w:rPr>
          <w:color w:val="auto"/>
          <w:highlight w:val="none"/>
        </w:rPr>
        <w:t>19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_Toc27612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六、关于询问</w:t>
      </w:r>
      <w:r>
        <w:rPr>
          <w:color w:val="auto"/>
          <w:highlight w:val="none"/>
        </w:rPr>
        <w:tab/>
      </w:r>
      <w:r>
        <w:rPr>
          <w:color w:val="auto"/>
          <w:highlight w:val="none"/>
        </w:rPr>
        <w:fldChar w:fldCharType="begin"/>
      </w:r>
      <w:r>
        <w:rPr>
          <w:color w:val="auto"/>
          <w:highlight w:val="none"/>
        </w:rPr>
        <w:instrText xml:space="preserve"> PAGEREF _Toc27612 \h </w:instrText>
      </w:r>
      <w:r>
        <w:rPr>
          <w:color w:val="auto"/>
          <w:highlight w:val="none"/>
        </w:rPr>
        <w:fldChar w:fldCharType="separate"/>
      </w:r>
      <w:r>
        <w:rPr>
          <w:color w:val="auto"/>
          <w:highlight w:val="none"/>
        </w:rPr>
        <w:t>19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_Toc27468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_Toc27468 \h </w:instrText>
      </w:r>
      <w:r>
        <w:rPr>
          <w:color w:val="auto"/>
          <w:highlight w:val="none"/>
        </w:rPr>
        <w:fldChar w:fldCharType="separate"/>
      </w:r>
      <w:r>
        <w:rPr>
          <w:color w:val="auto"/>
          <w:highlight w:val="none"/>
        </w:rPr>
        <w:t>20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_Toc11813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_Toc11813 \h </w:instrText>
      </w:r>
      <w:r>
        <w:rPr>
          <w:color w:val="auto"/>
          <w:highlight w:val="none"/>
        </w:rPr>
        <w:fldChar w:fldCharType="separate"/>
      </w:r>
      <w:r>
        <w:rPr>
          <w:color w:val="auto"/>
          <w:highlight w:val="none"/>
        </w:rPr>
        <w:t>20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_Toc5582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lang w:val="en-US" w:eastAsia="zh-CN"/>
        </w:rPr>
        <w:t>第六篇 采购合同（参考）</w:t>
      </w:r>
      <w:r>
        <w:rPr>
          <w:color w:val="auto"/>
          <w:highlight w:val="none"/>
        </w:rPr>
        <w:tab/>
      </w:r>
      <w:r>
        <w:rPr>
          <w:color w:val="auto"/>
          <w:highlight w:val="none"/>
        </w:rPr>
        <w:fldChar w:fldCharType="begin"/>
      </w:r>
      <w:r>
        <w:rPr>
          <w:color w:val="auto"/>
          <w:highlight w:val="none"/>
        </w:rPr>
        <w:instrText xml:space="preserve"> PAGEREF _Toc5582 \h </w:instrText>
      </w:r>
      <w:r>
        <w:rPr>
          <w:color w:val="auto"/>
          <w:highlight w:val="none"/>
        </w:rPr>
        <w:fldChar w:fldCharType="separate"/>
      </w:r>
      <w:r>
        <w:rPr>
          <w:color w:val="auto"/>
          <w:highlight w:val="none"/>
        </w:rPr>
        <w:t>21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_Toc13094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szCs w:val="36"/>
          <w:highlight w:val="none"/>
          <w:lang w:val="en-US" w:eastAsia="zh-CN"/>
        </w:rPr>
        <w:t>七</w:t>
      </w:r>
      <w:r>
        <w:rPr>
          <w:rFonts w:hint="eastAsia" w:asciiTheme="minorEastAsia" w:hAnsiTheme="minorEastAsia" w:eastAsiaTheme="minorEastAsia" w:cstheme="minorEastAsia"/>
          <w:color w:val="auto"/>
          <w:szCs w:val="36"/>
          <w:highlight w:val="none"/>
        </w:rPr>
        <w:t xml:space="preserve">篇  </w:t>
      </w:r>
      <w:r>
        <w:rPr>
          <w:rFonts w:hint="eastAsia" w:asciiTheme="minorEastAsia" w:hAnsiTheme="minorEastAsia" w:eastAsiaTheme="minorEastAsia" w:cstheme="minorEastAsia"/>
          <w:bCs/>
          <w:color w:val="auto"/>
          <w:szCs w:val="30"/>
          <w:highlight w:val="none"/>
        </w:rPr>
        <w:t>响应文件编制要求</w:t>
      </w:r>
      <w:r>
        <w:rPr>
          <w:color w:val="auto"/>
          <w:highlight w:val="none"/>
        </w:rPr>
        <w:tab/>
      </w:r>
      <w:r>
        <w:rPr>
          <w:color w:val="auto"/>
          <w:highlight w:val="none"/>
        </w:rPr>
        <w:fldChar w:fldCharType="begin"/>
      </w:r>
      <w:r>
        <w:rPr>
          <w:color w:val="auto"/>
          <w:highlight w:val="none"/>
        </w:rPr>
        <w:instrText xml:space="preserve"> PAGEREF _Toc13094 \h </w:instrText>
      </w:r>
      <w:r>
        <w:rPr>
          <w:color w:val="auto"/>
          <w:highlight w:val="none"/>
        </w:rPr>
        <w:fldChar w:fldCharType="separate"/>
      </w:r>
      <w:r>
        <w:rPr>
          <w:color w:val="auto"/>
          <w:highlight w:val="none"/>
        </w:rPr>
        <w:t>22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_Toc28503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_Toc28503 \h </w:instrText>
      </w:r>
      <w:r>
        <w:rPr>
          <w:color w:val="auto"/>
          <w:highlight w:val="none"/>
        </w:rPr>
        <w:fldChar w:fldCharType="separate"/>
      </w:r>
      <w:r>
        <w:rPr>
          <w:color w:val="auto"/>
          <w:highlight w:val="none"/>
        </w:rPr>
        <w:t>23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_Toc2697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_Toc2697 \h </w:instrText>
      </w:r>
      <w:r>
        <w:rPr>
          <w:color w:val="auto"/>
          <w:highlight w:val="none"/>
        </w:rPr>
        <w:fldChar w:fldCharType="separate"/>
      </w:r>
      <w:r>
        <w:rPr>
          <w:color w:val="auto"/>
          <w:highlight w:val="none"/>
        </w:rPr>
        <w:t>24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_Toc25678 \h </w:instrText>
      </w:r>
      <w:r>
        <w:rPr>
          <w:color w:val="auto"/>
          <w:highlight w:val="none"/>
        </w:rPr>
        <w:fldChar w:fldCharType="separate"/>
      </w:r>
      <w:r>
        <w:rPr>
          <w:color w:val="auto"/>
          <w:highlight w:val="none"/>
        </w:rPr>
        <w:t>27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_Toc17631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_Toc17631 \h </w:instrText>
      </w:r>
      <w:r>
        <w:rPr>
          <w:color w:val="auto"/>
          <w:highlight w:val="none"/>
        </w:rPr>
        <w:fldChar w:fldCharType="separate"/>
      </w:r>
      <w:r>
        <w:rPr>
          <w:color w:val="auto"/>
          <w:highlight w:val="none"/>
        </w:rPr>
        <w:t>29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_Toc18881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_Toc18881 \h </w:instrText>
      </w:r>
      <w:r>
        <w:rPr>
          <w:color w:val="auto"/>
          <w:highlight w:val="none"/>
        </w:rPr>
        <w:fldChar w:fldCharType="separate"/>
      </w:r>
      <w:r>
        <w:rPr>
          <w:color w:val="auto"/>
          <w:highlight w:val="none"/>
        </w:rPr>
        <w:t>33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footerReference r:id="rId8" w:type="default"/>
          <w:pgSz w:w="11907" w:h="16840"/>
          <w:pgMar w:top="1134" w:right="1191" w:bottom="1134" w:left="1304" w:header="851" w:footer="992" w:gutter="0"/>
          <w:pgNumType w:fmt="decimal"/>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pPr>
        <w:pStyle w:val="4"/>
        <w:spacing w:line="360" w:lineRule="auto"/>
        <w:jc w:val="center"/>
        <w:rPr>
          <w:rFonts w:hint="eastAsia" w:asciiTheme="minorEastAsia" w:hAnsiTheme="minorEastAsia" w:eastAsiaTheme="minorEastAsia" w:cstheme="minorEastAsia"/>
          <w:bCs/>
          <w:color w:val="auto"/>
          <w:szCs w:val="30"/>
          <w:highlight w:val="none"/>
        </w:rPr>
      </w:pPr>
      <w:bookmarkStart w:id="0" w:name="_Toc106030870"/>
      <w:bookmarkEnd w:id="0"/>
      <w:bookmarkStart w:id="1" w:name="_Toc12789052"/>
      <w:bookmarkEnd w:id="1"/>
      <w:bookmarkStart w:id="2" w:name="_Toc76462316"/>
      <w:bookmarkEnd w:id="2"/>
      <w:bookmarkStart w:id="3" w:name="_Toc7314"/>
      <w:bookmarkEnd w:id="3"/>
      <w:bookmarkStart w:id="4" w:name="_Toc11641050"/>
      <w:bookmarkEnd w:id="4"/>
      <w:bookmarkStart w:id="5" w:name="_Toc29051"/>
      <w:bookmarkStart w:id="6" w:name="_Toc16374"/>
      <w:bookmarkStart w:id="7" w:name="_Toc15468"/>
      <w:r>
        <w:rPr>
          <w:rFonts w:hint="eastAsia" w:asciiTheme="minorEastAsia" w:hAnsiTheme="minorEastAsia" w:eastAsiaTheme="minorEastAsia" w:cstheme="minorEastAsia"/>
          <w:bCs/>
          <w:color w:val="auto"/>
          <w:sz w:val="36"/>
          <w:szCs w:val="30"/>
          <w:highlight w:val="none"/>
        </w:rPr>
        <w:t>第一篇  采购邀请书</w:t>
      </w:r>
      <w:bookmarkEnd w:id="5"/>
      <w:bookmarkEnd w:id="6"/>
      <w:bookmarkEnd w:id="7"/>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华春建设工程项目管理有限责任公司</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）接受</w:t>
      </w:r>
      <w:r>
        <w:rPr>
          <w:rFonts w:hint="eastAsia" w:asciiTheme="minorEastAsia" w:hAnsiTheme="minorEastAsia" w:eastAsiaTheme="minorEastAsia" w:cstheme="minorEastAsia"/>
          <w:color w:val="auto"/>
          <w:sz w:val="24"/>
          <w:szCs w:val="24"/>
          <w:highlight w:val="none"/>
          <w:u w:val="single"/>
          <w:lang w:eastAsia="zh-CN"/>
        </w:rPr>
        <w:t>重庆市园博园管理处</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）的委托，对</w:t>
      </w:r>
      <w:r>
        <w:rPr>
          <w:rFonts w:hint="eastAsia" w:asciiTheme="minorEastAsia" w:hAnsiTheme="minorEastAsia" w:eastAsiaTheme="minorEastAsia" w:cstheme="minorEastAsia"/>
          <w:color w:val="auto"/>
          <w:sz w:val="24"/>
          <w:szCs w:val="24"/>
          <w:highlight w:val="none"/>
          <w:u w:val="single"/>
          <w:lang w:eastAsia="zh-CN"/>
        </w:rPr>
        <w:t>重庆园博园萌宠乐园项目</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rPr>
        <w:t>比选采购。欢迎有资格的供应商前来参与比选。</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 w:name="_Toc313893526"/>
      <w:bookmarkEnd w:id="8"/>
      <w:bookmarkStart w:id="9" w:name="_Toc106030871"/>
      <w:bookmarkEnd w:id="9"/>
      <w:bookmarkStart w:id="10" w:name="_Toc317775175"/>
      <w:bookmarkEnd w:id="10"/>
      <w:bookmarkStart w:id="11" w:name="_Toc76462317"/>
      <w:bookmarkEnd w:id="11"/>
      <w:bookmarkStart w:id="12" w:name="_Toc111"/>
      <w:bookmarkEnd w:id="12"/>
      <w:bookmarkStart w:id="13" w:name="_Toc15457"/>
      <w:bookmarkStart w:id="14" w:name="_Toc29419"/>
      <w:bookmarkStart w:id="15" w:name="_Toc25655"/>
      <w:r>
        <w:rPr>
          <w:rFonts w:hint="eastAsia" w:asciiTheme="minorEastAsia" w:hAnsiTheme="minorEastAsia" w:eastAsiaTheme="minorEastAsia" w:cstheme="minorEastAsia"/>
          <w:color w:val="auto"/>
          <w:sz w:val="24"/>
          <w:highlight w:val="none"/>
        </w:rPr>
        <w:t>一、竞争性比选内容</w:t>
      </w:r>
      <w:bookmarkEnd w:id="13"/>
      <w:bookmarkEnd w:id="14"/>
      <w:bookmarkEnd w:id="15"/>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1666"/>
        <w:gridCol w:w="1666"/>
        <w:gridCol w:w="1271"/>
        <w:gridCol w:w="151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1" w:type="pct"/>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865" w:type="pct"/>
            <w:vAlign w:val="center"/>
          </w:tcPr>
          <w:p>
            <w:pPr>
              <w:pStyle w:val="23"/>
              <w:spacing w:line="240" w:lineRule="auto"/>
              <w:ind w:left="0"/>
              <w:jc w:val="center"/>
              <w:outlineLvl w:val="0"/>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保底营业额最低限价（万元/年）</w:t>
            </w:r>
          </w:p>
        </w:tc>
        <w:tc>
          <w:tcPr>
            <w:tcW w:w="865" w:type="pct"/>
            <w:vAlign w:val="center"/>
          </w:tcPr>
          <w:p>
            <w:pPr>
              <w:pStyle w:val="23"/>
              <w:spacing w:line="240" w:lineRule="auto"/>
              <w:ind w:left="0"/>
              <w:jc w:val="center"/>
              <w:outlineLvl w:val="0"/>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比选人营业额分成比例最低限价（%/年）</w:t>
            </w:r>
          </w:p>
        </w:tc>
        <w:tc>
          <w:tcPr>
            <w:tcW w:w="660" w:type="pct"/>
            <w:vAlign w:val="center"/>
          </w:tcPr>
          <w:p>
            <w:pPr>
              <w:pStyle w:val="23"/>
              <w:spacing w:line="240" w:lineRule="auto"/>
              <w:ind w:left="0" w:leftChars="0"/>
              <w:jc w:val="center"/>
              <w:outlineLvl w:val="0"/>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比选保证金（万元）</w:t>
            </w:r>
          </w:p>
        </w:tc>
        <w:tc>
          <w:tcPr>
            <w:tcW w:w="784" w:type="pct"/>
            <w:vAlign w:val="center"/>
          </w:tcPr>
          <w:p>
            <w:pPr>
              <w:pStyle w:val="23"/>
              <w:spacing w:line="240" w:lineRule="auto"/>
              <w:ind w:left="0" w:leftChars="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成交供应商</w:t>
            </w:r>
            <w:r>
              <w:rPr>
                <w:rFonts w:hint="eastAsia" w:asciiTheme="minorEastAsia" w:hAnsiTheme="minorEastAsia" w:eastAsiaTheme="minorEastAsia" w:cstheme="minorEastAsia"/>
                <w:b/>
                <w:color w:val="auto"/>
                <w:sz w:val="21"/>
                <w:szCs w:val="21"/>
                <w:highlight w:val="none"/>
              </w:rPr>
              <w:t>数量（名）</w:t>
            </w:r>
          </w:p>
        </w:tc>
        <w:tc>
          <w:tcPr>
            <w:tcW w:w="682" w:type="pct"/>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41" w:type="pct"/>
            <w:vAlign w:val="center"/>
          </w:tcPr>
          <w:p>
            <w:pPr>
              <w:pStyle w:val="16"/>
              <w:spacing w:line="240" w:lineRule="auto"/>
              <w:ind w:firstLine="0"/>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重庆园博园萌宠乐园项目</w:t>
            </w:r>
          </w:p>
        </w:tc>
        <w:tc>
          <w:tcPr>
            <w:tcW w:w="865" w:type="pct"/>
            <w:vAlign w:val="center"/>
          </w:tcPr>
          <w:p>
            <w:pPr>
              <w:spacing w:line="240" w:lineRule="atLeast"/>
              <w:jc w:val="center"/>
              <w:outlineLvl w:val="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800</w:t>
            </w:r>
          </w:p>
        </w:tc>
        <w:tc>
          <w:tcPr>
            <w:tcW w:w="865" w:type="pct"/>
            <w:vAlign w:val="center"/>
          </w:tcPr>
          <w:p>
            <w:pPr>
              <w:spacing w:line="240" w:lineRule="atLeast"/>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15</w:t>
            </w:r>
          </w:p>
        </w:tc>
        <w:tc>
          <w:tcPr>
            <w:tcW w:w="660" w:type="pct"/>
            <w:vAlign w:val="center"/>
          </w:tcPr>
          <w:p>
            <w:pPr>
              <w:spacing w:line="240" w:lineRule="atLeast"/>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84" w:type="pct"/>
            <w:vAlign w:val="center"/>
          </w:tcPr>
          <w:p>
            <w:pPr>
              <w:spacing w:line="240" w:lineRule="atLeas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2" w:type="pct"/>
            <w:vAlign w:val="center"/>
          </w:tcPr>
          <w:p>
            <w:pPr>
              <w:spacing w:line="240" w:lineRule="atLeast"/>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服务期5年</w:t>
            </w:r>
          </w:p>
        </w:tc>
      </w:tr>
    </w:tbl>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 w:name="_Toc76462319"/>
      <w:bookmarkEnd w:id="16"/>
      <w:bookmarkStart w:id="17" w:name="_Toc76462318"/>
      <w:bookmarkEnd w:id="17"/>
      <w:bookmarkStart w:id="18" w:name="_Toc21035"/>
      <w:bookmarkEnd w:id="18"/>
      <w:bookmarkStart w:id="19" w:name="_Toc106030872"/>
      <w:bookmarkEnd w:id="19"/>
      <w:bookmarkStart w:id="20" w:name="_Toc29613"/>
      <w:bookmarkEnd w:id="20"/>
      <w:bookmarkStart w:id="21" w:name="_Toc106030873"/>
      <w:bookmarkEnd w:id="21"/>
      <w:bookmarkStart w:id="22" w:name="_Toc12739"/>
      <w:bookmarkStart w:id="23" w:name="_Toc17979"/>
      <w:bookmarkStart w:id="24" w:name="_Toc27603"/>
      <w:bookmarkStart w:id="25" w:name="_Toc373860293"/>
      <w:bookmarkStart w:id="26" w:name="_Toc317775178"/>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、供应商资格条件</w:t>
      </w:r>
      <w:bookmarkEnd w:id="22"/>
      <w:bookmarkEnd w:id="23"/>
      <w:bookmarkEnd w:id="24"/>
    </w:p>
    <w:bookmarkEnd w:id="25"/>
    <w:p>
      <w:pPr>
        <w:spacing w:line="400" w:lineRule="exact"/>
        <w:ind w:firstLine="480" w:firstLineChars="200"/>
        <w:rPr>
          <w:rFonts w:hint="eastAsia" w:ascii="宋体" w:hAnsi="宋体" w:cs="宋体"/>
          <w:color w:val="auto"/>
          <w:sz w:val="24"/>
          <w:szCs w:val="24"/>
          <w:highlight w:val="none"/>
        </w:rPr>
      </w:pPr>
      <w:bookmarkStart w:id="27" w:name="_Toc24313"/>
      <w:bookmarkEnd w:id="27"/>
      <w:bookmarkStart w:id="28" w:name="_Toc76462320"/>
      <w:bookmarkEnd w:id="28"/>
      <w:bookmarkStart w:id="29" w:name="_Toc106030874"/>
      <w:bookmarkEnd w:id="29"/>
      <w:r>
        <w:rPr>
          <w:rFonts w:hint="eastAsia" w:ascii="宋体" w:hAnsi="宋体" w:cs="宋体"/>
          <w:color w:val="auto"/>
          <w:sz w:val="24"/>
          <w:szCs w:val="24"/>
          <w:highlight w:val="none"/>
        </w:rPr>
        <w:t>（一）满足《中华人民共和国政府采购法》第二十二条规定；</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（二）落实政府采购政策需满足的资格要求：无。</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本项目的特定资格要求：</w:t>
      </w:r>
    </w:p>
    <w:p>
      <w:pPr>
        <w:pStyle w:val="4"/>
        <w:adjustRightInd w:val="0"/>
        <w:snapToGrid w:val="0"/>
        <w:spacing w:before="0" w:after="0" w:line="400" w:lineRule="exact"/>
        <w:ind w:firstLine="480" w:firstLineChars="200"/>
        <w:rPr>
          <w:rFonts w:hint="eastAsia" w:asciiTheme="minorEastAsia" w:hAnsiTheme="minorEastAsia" w:eastAsiaTheme="minorEastAsia" w:cstheme="minorEastAsia"/>
          <w:b w:val="0"/>
          <w:bCs/>
          <w:color w:val="auto"/>
          <w:sz w:val="24"/>
          <w:highlight w:val="none"/>
          <w:lang w:val="en-US" w:eastAsia="zh-CN"/>
        </w:rPr>
      </w:pPr>
      <w:bookmarkStart w:id="30" w:name="_Toc16913"/>
      <w:bookmarkStart w:id="31" w:name="_Toc4034"/>
      <w:bookmarkStart w:id="32" w:name="_Toc4536"/>
      <w:r>
        <w:rPr>
          <w:rFonts w:hint="eastAsia" w:asciiTheme="minorEastAsia" w:hAnsiTheme="minorEastAsia" w:eastAsiaTheme="minorEastAsia" w:cstheme="minorEastAsia"/>
          <w:b w:val="0"/>
          <w:bCs/>
          <w:color w:val="auto"/>
          <w:sz w:val="24"/>
          <w:highlight w:val="none"/>
          <w:lang w:val="en-US" w:eastAsia="zh-CN"/>
        </w:rPr>
        <w:t>1.供应商</w:t>
      </w:r>
      <w:r>
        <w:rPr>
          <w:rFonts w:hint="eastAsia" w:asciiTheme="minorEastAsia" w:hAnsiTheme="minorEastAsia" w:eastAsiaTheme="minorEastAsia" w:cstheme="minorEastAsia"/>
          <w:b w:val="0"/>
          <w:bCs/>
          <w:caps w:val="0"/>
          <w:smallCaps w:val="0"/>
          <w:vanish w:val="0"/>
          <w:color w:val="auto"/>
          <w:sz w:val="24"/>
          <w:szCs w:val="20"/>
          <w:highlight w:val="none"/>
          <w:lang w:val="en-US" w:eastAsia="zh-CN"/>
        </w:rPr>
        <w:t>具备建筑工程施工总承包三级及以上资质（或供应商委托有资质的施工单位）。（提供资质证书复印件或者供应商与施工单位的合作协议（格式自拟，须明确施工范围、工期、质量责任）原件，并加盖供应商公章）</w:t>
      </w:r>
    </w:p>
    <w:p>
      <w:pPr>
        <w:pStyle w:val="4"/>
        <w:adjustRightInd w:val="0"/>
        <w:snapToGrid w:val="0"/>
        <w:spacing w:before="0" w:after="0" w:line="400" w:lineRule="exact"/>
        <w:ind w:firstLine="480" w:firstLineChars="200"/>
        <w:rPr>
          <w:rFonts w:hint="default"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2.供应商承诺合法合规的经营萌宠乐园，且经营权不允许外包。（提供承诺书并加盖供应商公章，格式自拟）</w:t>
      </w:r>
    </w:p>
    <w:p>
      <w:pPr>
        <w:pStyle w:val="4"/>
        <w:adjustRightInd w:val="0"/>
        <w:snapToGrid w:val="0"/>
        <w:spacing w:before="0" w:after="0" w:line="400" w:lineRule="exact"/>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3.供应商承诺成交后自行办理动物相关资质。（提供承诺书并加盖供应商公章，格式自拟）</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、比选采购有关说明</w:t>
      </w:r>
      <w:bookmarkEnd w:id="30"/>
      <w:bookmarkEnd w:id="31"/>
      <w:bookmarkEnd w:id="32"/>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（一）凡有意参加比选的供应商，请在</w:t>
      </w:r>
      <w:r>
        <w:rPr>
          <w:rFonts w:hint="eastAsia" w:ascii="宋体" w:hAnsi="宋体" w:eastAsia="宋体" w:cs="宋体"/>
          <w:color w:val="auto"/>
          <w:sz w:val="24"/>
          <w:szCs w:val="24"/>
          <w:highlight w:val="none"/>
          <w:lang w:eastAsia="zh-CN"/>
        </w:rPr>
        <w:t>“重庆</w:t>
      </w:r>
      <w:r>
        <w:rPr>
          <w:rFonts w:hint="eastAsia" w:ascii="宋体" w:hAnsi="宋体" w:eastAsia="宋体" w:cs="宋体"/>
          <w:color w:val="auto"/>
          <w:sz w:val="24"/>
          <w:szCs w:val="24"/>
          <w:highlight w:val="none"/>
          <w:lang w:val="en-US" w:eastAsia="zh-CN"/>
        </w:rPr>
        <w:t>园博园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（http://www.cqybh2011.com/cqyby/index.html）</w:t>
      </w:r>
      <w:r>
        <w:rPr>
          <w:rFonts w:hint="eastAsia" w:ascii="宋体" w:hAnsi="宋体" w:eastAsia="宋体" w:cs="宋体"/>
          <w:color w:val="auto"/>
          <w:sz w:val="24"/>
          <w:szCs w:val="24"/>
          <w:highlight w:val="none"/>
          <w:lang w:val="en-US" w:eastAsia="zh-CN"/>
        </w:rPr>
        <w:t>或“中国采购与招标网”（https://www.chinabidding.com.cn/）</w:t>
      </w:r>
      <w:r>
        <w:rPr>
          <w:rFonts w:hint="eastAsia" w:asciiTheme="minorEastAsia" w:hAnsiTheme="minorEastAsia" w:eastAsiaTheme="minorEastAsia" w:cstheme="minorEastAsia"/>
          <w:color w:val="auto"/>
          <w:sz w:val="24"/>
          <w:szCs w:val="24"/>
          <w:highlight w:val="none"/>
        </w:rPr>
        <w:t>上下载本项目竞争性比选文件以及澄清等比选前公布的所有项目资料，无论供应商下载与否，均视为已知晓所有比选实质性要求内容。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）竞争性比选公告期限：自采购公告发布之日起三个工作日。</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）竞争性比选文件发售期限：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竞争性比选文件发售期：202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29 </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8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1 </w:t>
      </w:r>
      <w:r>
        <w:rPr>
          <w:rFonts w:hint="eastAsia" w:asciiTheme="minorEastAsia" w:hAnsiTheme="minorEastAsia" w:eastAsiaTheme="minorEastAsia" w:cstheme="minorEastAsia"/>
          <w:color w:val="auto"/>
          <w:sz w:val="24"/>
          <w:szCs w:val="24"/>
          <w:highlight w:val="none"/>
        </w:rPr>
        <w:t>日（9:00—17:00工作时间）。</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2、报名方式</w:t>
      </w:r>
    </w:p>
    <w:p>
      <w:pPr>
        <w:wordWrap w:val="0"/>
        <w:adjustRightInd/>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在磋商文件发售期内，供应商将磋商文件购买费用汇至以下账户内进行购买。通过汇款方式购买磋商文件的，将磋商文件汇款凭证（注明项目编号）、《采购文件发售登记表》（加盖供应商公章）扫描后发送至403140251@QQ.com（邮箱）。"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文件发售期内，将《</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文件发售登记表》（加盖供应商公章）扫描后发送至280756406@QQ.com（邮箱）。</w:t>
      </w:r>
      <w:r>
        <w:rPr>
          <w:rFonts w:hint="eastAsia" w:ascii="宋体" w:hAnsi="宋体" w:eastAsia="宋体" w:cs="宋体"/>
          <w:color w:val="auto"/>
          <w:sz w:val="24"/>
          <w:szCs w:val="24"/>
          <w:highlight w:val="none"/>
        </w:rPr>
        <w:fldChar w:fldCharType="end"/>
      </w:r>
    </w:p>
    <w:p>
      <w:pPr>
        <w:numPr>
          <w:ilvl w:val="0"/>
          <w:numId w:val="0"/>
        </w:numPr>
        <w:spacing w:line="400" w:lineRule="exact"/>
        <w:ind w:firstLine="480" w:firstLineChars="200"/>
        <w:rPr>
          <w:rFonts w:hint="eastAsia" w:ascii="宋体" w:hAnsi="宋体" w:eastAsia="宋体" w:cs="宋体"/>
          <w:color w:val="auto"/>
          <w:spacing w:val="0"/>
          <w:sz w:val="24"/>
          <w:szCs w:val="24"/>
          <w:highlight w:val="none"/>
          <w:lang w:eastAsia="zh-CN"/>
        </w:rPr>
      </w:pP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lang w:val="en-US" w:eastAsia="zh-CN"/>
        </w:rPr>
        <w:t>2</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在</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文件发售期内</w:t>
      </w:r>
      <w:r>
        <w:rPr>
          <w:rFonts w:hint="eastAsia" w:ascii="宋体" w:hAnsi="宋体" w:eastAsia="宋体" w:cs="宋体"/>
          <w:color w:val="auto"/>
          <w:spacing w:val="0"/>
          <w:sz w:val="24"/>
          <w:szCs w:val="24"/>
          <w:highlight w:val="none"/>
          <w:lang w:val="en-US" w:eastAsia="zh-CN"/>
        </w:rPr>
        <w:t>报名</w:t>
      </w:r>
      <w:r>
        <w:rPr>
          <w:rFonts w:hint="eastAsia" w:ascii="宋体" w:hAnsi="宋体" w:eastAsia="宋体" w:cs="宋体"/>
          <w:color w:val="auto"/>
          <w:spacing w:val="0"/>
          <w:sz w:val="24"/>
          <w:szCs w:val="24"/>
          <w:highlight w:val="none"/>
        </w:rPr>
        <w:t>的供应商，其</w:t>
      </w:r>
      <w:r>
        <w:rPr>
          <w:rFonts w:hint="eastAsia" w:ascii="宋体" w:hAnsi="宋体" w:eastAsia="宋体" w:cs="宋体"/>
          <w:color w:val="auto"/>
          <w:spacing w:val="0"/>
          <w:sz w:val="24"/>
          <w:szCs w:val="24"/>
          <w:highlight w:val="none"/>
          <w:lang w:val="en-US" w:eastAsia="zh-CN"/>
        </w:rPr>
        <w:t>响应文件</w:t>
      </w:r>
      <w:r>
        <w:rPr>
          <w:rFonts w:hint="eastAsia" w:ascii="宋体" w:hAnsi="宋体" w:eastAsia="宋体" w:cs="宋体"/>
          <w:color w:val="auto"/>
          <w:spacing w:val="0"/>
          <w:sz w:val="24"/>
          <w:szCs w:val="24"/>
          <w:highlight w:val="none"/>
        </w:rPr>
        <w:t>才被接收</w:t>
      </w:r>
      <w:r>
        <w:rPr>
          <w:rFonts w:hint="eastAsia" w:ascii="宋体" w:hAnsi="宋体" w:eastAsia="宋体" w:cs="宋体"/>
          <w:color w:val="auto"/>
          <w:spacing w:val="0"/>
          <w:sz w:val="24"/>
          <w:szCs w:val="24"/>
          <w:highlight w:val="none"/>
          <w:lang w:eastAsia="zh-CN"/>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）递交响应文件地点：</w:t>
      </w:r>
      <w:r>
        <w:rPr>
          <w:rFonts w:hint="eastAsia" w:ascii="宋体" w:hAnsi="宋体" w:cs="宋体"/>
          <w:color w:val="auto"/>
          <w:sz w:val="24"/>
          <w:szCs w:val="24"/>
          <w:highlight w:val="none"/>
          <w:lang w:val="en-US" w:eastAsia="zh-CN"/>
        </w:rPr>
        <w:t>重庆市</w:t>
      </w:r>
      <w:r>
        <w:rPr>
          <w:rFonts w:hint="eastAsia" w:ascii="宋体" w:hAnsi="宋体" w:cs="宋体"/>
          <w:color w:val="auto"/>
          <w:sz w:val="24"/>
          <w:szCs w:val="24"/>
          <w:highlight w:val="none"/>
          <w:lang w:eastAsia="zh-CN"/>
        </w:rPr>
        <w:t>两江新区龙景路1号（重庆园博园主展馆一楼会议室）</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8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4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14:00  </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8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4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14:30  </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）比选开始时间：202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8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4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14:30 </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3" w:name="_Toc11844"/>
      <w:bookmarkEnd w:id="33"/>
      <w:bookmarkStart w:id="34" w:name="_Toc524"/>
      <w:bookmarkEnd w:id="34"/>
      <w:bookmarkStart w:id="35" w:name="_Toc75793500"/>
      <w:bookmarkEnd w:id="35"/>
      <w:bookmarkStart w:id="36" w:name="_Toc23960"/>
      <w:bookmarkEnd w:id="36"/>
      <w:bookmarkStart w:id="37" w:name="_Toc25854"/>
      <w:bookmarkEnd w:id="37"/>
      <w:bookmarkStart w:id="38" w:name="_Toc12090"/>
      <w:bookmarkEnd w:id="38"/>
      <w:bookmarkStart w:id="39" w:name="_Toc12663"/>
      <w:bookmarkEnd w:id="39"/>
      <w:bookmarkStart w:id="40" w:name="_Toc9290"/>
      <w:bookmarkEnd w:id="40"/>
      <w:bookmarkStart w:id="41" w:name="_Toc15717"/>
      <w:bookmarkEnd w:id="41"/>
      <w:bookmarkStart w:id="42" w:name="_Toc3476"/>
      <w:bookmarkEnd w:id="42"/>
      <w:bookmarkStart w:id="43" w:name="_Toc7836"/>
      <w:bookmarkEnd w:id="43"/>
      <w:bookmarkStart w:id="44" w:name="_Toc106030376"/>
      <w:bookmarkEnd w:id="44"/>
      <w:bookmarkStart w:id="45" w:name="_Toc30895"/>
      <w:bookmarkEnd w:id="45"/>
      <w:bookmarkStart w:id="46" w:name="_Toc18100"/>
      <w:bookmarkEnd w:id="46"/>
      <w:bookmarkStart w:id="47" w:name="_Toc22111"/>
      <w:bookmarkEnd w:id="47"/>
      <w:bookmarkStart w:id="48" w:name="_Toc3575"/>
      <w:bookmarkStart w:id="49" w:name="_Toc25502"/>
      <w:bookmarkStart w:id="50" w:name="_Toc15409"/>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保证金</w:t>
      </w:r>
      <w:bookmarkEnd w:id="48"/>
      <w:bookmarkEnd w:id="49"/>
      <w:bookmarkEnd w:id="50"/>
    </w:p>
    <w:bookmarkEnd w:id="26"/>
    <w:p>
      <w:pPr>
        <w:snapToGrid w:val="0"/>
        <w:spacing w:line="400" w:lineRule="exact"/>
        <w:ind w:firstLine="480" w:firstLineChars="200"/>
        <w:rPr>
          <w:rFonts w:hint="eastAsia" w:ascii="宋体" w:hAnsi="宋体" w:eastAsia="宋体" w:cs="宋体"/>
          <w:color w:val="auto"/>
          <w:sz w:val="24"/>
          <w:szCs w:val="24"/>
          <w:highlight w:val="none"/>
        </w:rPr>
      </w:pPr>
      <w:bookmarkStart w:id="51" w:name="_Toc76462321"/>
      <w:bookmarkEnd w:id="51"/>
      <w:bookmarkStart w:id="52" w:name="_Toc480466699"/>
      <w:bookmarkEnd w:id="52"/>
      <w:bookmarkStart w:id="53" w:name="_Toc106030875"/>
      <w:bookmarkEnd w:id="53"/>
      <w:bookmarkStart w:id="54" w:name="_Toc480466698"/>
      <w:bookmarkEnd w:id="54"/>
      <w:bookmarkStart w:id="55" w:name="_Toc11939"/>
      <w:bookmarkEnd w:id="55"/>
      <w:bookmarkStart w:id="56" w:name="_Toc479668114"/>
      <w:bookmarkEnd w:id="56"/>
      <w:bookmarkStart w:id="57" w:name="_Toc76462322"/>
      <w:bookmarkEnd w:id="57"/>
      <w:bookmarkStart w:id="58" w:name="_Toc373860294"/>
      <w:bookmarkEnd w:id="58"/>
      <w:bookmarkStart w:id="59" w:name="_Toc106030876"/>
      <w:bookmarkEnd w:id="59"/>
      <w:bookmarkStart w:id="60" w:name="_Toc12747"/>
      <w:bookmarkEnd w:id="60"/>
      <w:bookmarkStart w:id="61" w:name="_Toc28996"/>
      <w:bookmarkStart w:id="62" w:name="_Toc5159"/>
      <w:r>
        <w:rPr>
          <w:rFonts w:hint="eastAsia" w:ascii="宋体" w:hAnsi="宋体" w:eastAsia="宋体" w:cs="宋体"/>
          <w:color w:val="auto"/>
          <w:sz w:val="24"/>
          <w:szCs w:val="24"/>
          <w:highlight w:val="none"/>
        </w:rPr>
        <w:t>（一）保证金递交</w:t>
      </w:r>
      <w:bookmarkStart w:id="63" w:name="_Toc6038"/>
      <w:bookmarkStart w:id="64" w:name="_Toc2812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供应商须按本项目规定的</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保证金金额进行</w:t>
      </w:r>
      <w:r>
        <w:rPr>
          <w:rFonts w:hint="eastAsia" w:ascii="宋体" w:hAnsi="宋体" w:cs="宋体"/>
          <w:b/>
          <w:bCs/>
          <w:color w:val="auto"/>
          <w:sz w:val="24"/>
          <w:szCs w:val="24"/>
          <w:highlight w:val="none"/>
          <w:lang w:val="en-US" w:eastAsia="zh-CN"/>
        </w:rPr>
        <w:t>公对公</w:t>
      </w:r>
      <w:r>
        <w:rPr>
          <w:rFonts w:hint="eastAsia" w:ascii="宋体" w:hAnsi="宋体" w:eastAsia="宋体" w:cs="宋体"/>
          <w:color w:val="auto"/>
          <w:sz w:val="24"/>
          <w:szCs w:val="24"/>
          <w:highlight w:val="none"/>
        </w:rPr>
        <w:t>缴纳（保证金金额详见本篇，一、竞争性</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内容），由供应</w:t>
      </w:r>
      <w:r>
        <w:rPr>
          <w:rFonts w:hint="eastAsia" w:ascii="宋体" w:hAnsi="宋体" w:eastAsia="宋体" w:cs="宋体"/>
          <w:b w:val="0"/>
          <w:bCs w:val="0"/>
          <w:color w:val="auto"/>
          <w:sz w:val="24"/>
          <w:szCs w:val="24"/>
          <w:highlight w:val="none"/>
        </w:rPr>
        <w:t>商从其</w:t>
      </w:r>
      <w:r>
        <w:rPr>
          <w:rFonts w:hint="eastAsia" w:ascii="宋体" w:hAnsi="宋体" w:cs="宋体"/>
          <w:b w:val="0"/>
          <w:bCs w:val="0"/>
          <w:color w:val="auto"/>
          <w:sz w:val="24"/>
          <w:szCs w:val="24"/>
          <w:highlight w:val="none"/>
          <w:lang w:val="en-US" w:eastAsia="zh-CN"/>
        </w:rPr>
        <w:t>公司账户</w:t>
      </w:r>
      <w:r>
        <w:rPr>
          <w:rFonts w:hint="eastAsia" w:ascii="宋体" w:hAnsi="宋体" w:eastAsia="宋体" w:cs="宋体"/>
          <w:b w:val="0"/>
          <w:bCs w:val="0"/>
          <w:color w:val="auto"/>
          <w:sz w:val="24"/>
          <w:szCs w:val="24"/>
          <w:highlight w:val="none"/>
        </w:rPr>
        <w:t>将</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保证金汇至以下账户，</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保证金的到账截止时间为</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当天上午9:00。</w:t>
      </w:r>
      <w:bookmarkEnd w:id="63"/>
      <w:bookmarkEnd w:id="64"/>
      <w:bookmarkStart w:id="65" w:name="_Toc27323"/>
      <w:bookmarkStart w:id="66" w:name="_Toc706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名：华春建设工程项目管理有限责任公司重庆分公司</w:t>
      </w:r>
      <w:bookmarkEnd w:id="65"/>
      <w:bookmarkEnd w:id="66"/>
      <w:bookmarkStart w:id="67" w:name="_Toc24239"/>
      <w:bookmarkStart w:id="68" w:name="_Toc29790"/>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开户行：工行刘家台支行</w:t>
      </w:r>
      <w:bookmarkEnd w:id="67"/>
      <w:bookmarkEnd w:id="68"/>
      <w:bookmarkStart w:id="69" w:name="_Toc5023"/>
      <w:bookmarkStart w:id="70" w:name="_Toc3875"/>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号：3100 2105 0900 0017 004</w:t>
      </w:r>
      <w:bookmarkEnd w:id="69"/>
      <w:bookmarkEnd w:id="70"/>
      <w:bookmarkStart w:id="71" w:name="_Toc11993"/>
      <w:bookmarkStart w:id="72" w:name="_Toc30619"/>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注：各供应商在银行转账（电汇）时，须充分考虑银行转账（电汇）的时间差风险，如同城转账、异地转账或汇款、跨行转账或电汇的时间要求。</w:t>
      </w:r>
      <w:bookmarkEnd w:id="71"/>
      <w:bookmarkEnd w:id="72"/>
      <w:bookmarkStart w:id="73" w:name="_Toc25517"/>
      <w:bookmarkStart w:id="74" w:name="_Toc8725"/>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保证金退还方式</w:t>
      </w:r>
      <w:bookmarkEnd w:id="73"/>
      <w:bookmarkEnd w:id="74"/>
      <w:bookmarkStart w:id="75" w:name="_Toc13840"/>
      <w:bookmarkStart w:id="76" w:name="_Toc10743"/>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未成交供应商的保证金，在</w:t>
      </w:r>
      <w:r>
        <w:rPr>
          <w:rFonts w:hint="eastAsia" w:ascii="宋体" w:hAnsi="宋体" w:cs="宋体"/>
          <w:color w:val="auto"/>
          <w:sz w:val="24"/>
          <w:szCs w:val="24"/>
          <w:highlight w:val="none"/>
          <w:lang w:eastAsia="zh-CN"/>
        </w:rPr>
        <w:t>成交通知书</w:t>
      </w:r>
      <w:r>
        <w:rPr>
          <w:rFonts w:hint="eastAsia" w:ascii="宋体" w:hAnsi="宋体" w:eastAsia="宋体" w:cs="宋体"/>
          <w:color w:val="auto"/>
          <w:sz w:val="24"/>
          <w:szCs w:val="24"/>
          <w:highlight w:val="none"/>
        </w:rPr>
        <w:t>发放后，代理机构在五个工作日内按来款渠道直接退还。</w:t>
      </w:r>
      <w:bookmarkEnd w:id="75"/>
      <w:bookmarkEnd w:id="76"/>
      <w:bookmarkStart w:id="77" w:name="_Toc9090"/>
      <w:bookmarkStart w:id="78" w:name="_Toc7952"/>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szCs w:val="24"/>
          <w:highlight w:val="none"/>
        </w:rPr>
        <w:t>2.成交供应商的保证金，在成交供应商与</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签订合同后，代理机构在五个工作日内按资金来款渠道直接退还。</w:t>
      </w:r>
      <w:bookmarkEnd w:id="77"/>
      <w:bookmarkEnd w:id="78"/>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9" w:name="_Toc2811"/>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、其它有关规定</w:t>
      </w:r>
      <w:bookmarkEnd w:id="61"/>
      <w:bookmarkEnd w:id="62"/>
      <w:bookmarkEnd w:id="79"/>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（一）单位负责人为同一人或者存在直接控股、管理关系的不同供应商，不得参加同一合同项（包）下的政府采购活动，否则均为无效响应。</w:t>
      </w:r>
    </w:p>
    <w:p>
      <w:pPr>
        <w:keepNext w:val="0"/>
        <w:keepLines w:val="0"/>
        <w:pageBreakBefore w:val="0"/>
        <w:widowControl w:val="0"/>
        <w:kinsoku/>
        <w:wordWrap w:val="0"/>
        <w:overflowPunct/>
        <w:topLinePunct w:val="0"/>
        <w:autoSpaceDE/>
        <w:autoSpaceDN/>
        <w:bidi w:val="0"/>
        <w:adjustRightInd/>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r>
        <w:rPr>
          <w:rFonts w:hint="eastAsia" w:ascii="宋体" w:hAnsi="宋体" w:cs="宋体"/>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）本项目的澄清文件（如果有）一律在</w:t>
      </w:r>
      <w:r>
        <w:rPr>
          <w:rFonts w:hint="eastAsia" w:ascii="宋体" w:hAnsi="宋体" w:eastAsia="宋体" w:cs="宋体"/>
          <w:color w:val="auto"/>
          <w:sz w:val="24"/>
          <w:szCs w:val="24"/>
          <w:highlight w:val="none"/>
          <w:lang w:eastAsia="zh-CN"/>
        </w:rPr>
        <w:t>“重庆</w:t>
      </w:r>
      <w:r>
        <w:rPr>
          <w:rFonts w:hint="eastAsia" w:ascii="宋体" w:hAnsi="宋体" w:eastAsia="宋体" w:cs="宋体"/>
          <w:color w:val="auto"/>
          <w:sz w:val="24"/>
          <w:szCs w:val="24"/>
          <w:highlight w:val="none"/>
          <w:lang w:val="en-US" w:eastAsia="zh-CN"/>
        </w:rPr>
        <w:t>园博园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（http://www.cqybh2011.com/cqyby/index.html）</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“中国采购与招标网”（https://www.chinabidding.com.cn/）</w:t>
      </w:r>
      <w:r>
        <w:rPr>
          <w:rFonts w:hint="eastAsia" w:asciiTheme="minorEastAsia" w:hAnsiTheme="minorEastAsia" w:eastAsiaTheme="minorEastAsia" w:cstheme="minorEastAsia"/>
          <w:color w:val="auto"/>
          <w:sz w:val="24"/>
          <w:szCs w:val="24"/>
          <w:highlight w:val="none"/>
        </w:rPr>
        <w:t>上发布，请各供应商注意下载；无论供应商下载与否，均视同供应商已知晓本项目澄清文件（如果有）的内容。</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）超过响应文件递交截止时间递交的响应文件，恕不接收。</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）比选费用：无论比选结果如何，供应商参与本项目比选的所有费用均应由供应商自行承担。</w:t>
      </w:r>
    </w:p>
    <w:p>
      <w:pPr>
        <w:snapToGrid w:val="0"/>
        <w:spacing w:line="400" w:lineRule="exact"/>
        <w:ind w:firstLine="361"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w:t>
      </w:r>
      <w:r>
        <w:rPr>
          <w:rFonts w:hint="eastAsia" w:ascii="宋体" w:hAnsi="宋体" w:cs="宋体"/>
          <w:b/>
          <w:color w:val="auto"/>
          <w:sz w:val="24"/>
          <w:szCs w:val="24"/>
          <w:highlight w:val="none"/>
        </w:rPr>
        <w:t>本项目不接受联合体参与</w:t>
      </w:r>
      <w:r>
        <w:rPr>
          <w:rFonts w:hint="eastAsia" w:ascii="宋体" w:hAnsi="宋体" w:cs="宋体"/>
          <w:b/>
          <w:color w:val="auto"/>
          <w:sz w:val="24"/>
          <w:szCs w:val="24"/>
          <w:highlight w:val="none"/>
          <w:lang w:val="en-US" w:eastAsia="zh-CN"/>
        </w:rPr>
        <w:t>比选</w:t>
      </w:r>
      <w:r>
        <w:rPr>
          <w:rFonts w:hint="eastAsia" w:ascii="宋体" w:hAnsi="宋体" w:cs="宋体"/>
          <w:b/>
          <w:color w:val="auto"/>
          <w:sz w:val="24"/>
          <w:szCs w:val="24"/>
          <w:highlight w:val="none"/>
        </w:rPr>
        <w:t>，否则按无效处理。</w:t>
      </w:r>
    </w:p>
    <w:p>
      <w:pPr>
        <w:snapToGrid w:val="0"/>
        <w:spacing w:line="400" w:lineRule="exact"/>
        <w:ind w:firstLine="361" w:firstLineChars="150"/>
        <w:rPr>
          <w:rFonts w:hint="eastAsia" w:asciiTheme="minorEastAsia" w:hAnsiTheme="minorEastAsia" w:eastAsiaTheme="minorEastAsia" w:cstheme="minorEastAsia"/>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七</w:t>
      </w:r>
      <w:r>
        <w:rPr>
          <w:rFonts w:hint="eastAsia" w:ascii="宋体" w:hAnsi="宋体" w:cs="宋体"/>
          <w:b/>
          <w:color w:val="auto"/>
          <w:sz w:val="24"/>
          <w:szCs w:val="24"/>
          <w:highlight w:val="none"/>
        </w:rPr>
        <w:t>）本项目接受合同分包。</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w:t>
      </w:r>
      <w:bookmarkStart w:id="80" w:name="_Toc480466700"/>
      <w:r>
        <w:rPr>
          <w:rFonts w:hint="eastAsia" w:asciiTheme="minorEastAsia" w:hAnsiTheme="minorEastAsia" w:eastAsiaTheme="minorEastAsia" w:cstheme="minorEastAsia"/>
          <w:color w:val="auto"/>
          <w:sz w:val="24"/>
          <w:szCs w:val="24"/>
          <w:highlight w:val="none"/>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bookmarkEnd w:id="80"/>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81" w:name="_Toc32225"/>
      <w:bookmarkEnd w:id="81"/>
      <w:bookmarkStart w:id="82" w:name="_Toc106030877"/>
      <w:bookmarkEnd w:id="82"/>
      <w:bookmarkStart w:id="83" w:name="_Toc76462323"/>
      <w:bookmarkEnd w:id="83"/>
      <w:bookmarkStart w:id="84" w:name="_Toc3054"/>
      <w:bookmarkStart w:id="85" w:name="_Toc1504"/>
      <w:bookmarkStart w:id="86" w:name="_Toc31248"/>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、联系方式</w:t>
      </w:r>
      <w:bookmarkEnd w:id="84"/>
      <w:bookmarkEnd w:id="85"/>
      <w:bookmarkEnd w:id="86"/>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重庆市园博园管理处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李</w:t>
      </w:r>
      <w:r>
        <w:rPr>
          <w:rFonts w:hint="eastAsia" w:asciiTheme="minorEastAsia" w:hAnsiTheme="minorEastAsia" w:eastAsiaTheme="minorEastAsia" w:cstheme="minorEastAsia"/>
          <w:color w:val="auto"/>
          <w:sz w:val="24"/>
          <w:szCs w:val="24"/>
          <w:highlight w:val="none"/>
        </w:rPr>
        <w:t xml:space="preserve">老师 </w:t>
      </w:r>
    </w:p>
    <w:p>
      <w:pP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话：023-63086109</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地  址：</w:t>
      </w:r>
      <w:r>
        <w:rPr>
          <w:rFonts w:hint="eastAsia" w:ascii="宋体" w:hAnsi="宋体" w:cs="宋体"/>
          <w:color w:val="auto"/>
          <w:sz w:val="24"/>
          <w:szCs w:val="24"/>
          <w:highlight w:val="none"/>
        </w:rPr>
        <w:t>重庆市两江新区龙景路1号</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华春建设工程项目管理有限责任公司</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温老师</w:t>
      </w:r>
    </w:p>
    <w:p>
      <w:pP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023-86394748</w:t>
      </w:r>
    </w:p>
    <w:p>
      <w:pPr>
        <w:snapToGrid w:val="0"/>
        <w:spacing w:line="400" w:lineRule="exact"/>
        <w:ind w:firstLine="480" w:firstLineChars="2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重庆市江北区建新东路82号</w:t>
      </w:r>
    </w:p>
    <w:p>
      <w:pPr>
        <w:snapToGrid w:val="0"/>
        <w:spacing w:line="420" w:lineRule="exact"/>
        <w:ind w:firstLine="964"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pStyle w:val="3"/>
        <w:rPr>
          <w:rFonts w:hAnsi="宋体" w:cs="宋体"/>
          <w:color w:val="auto"/>
          <w:sz w:val="24"/>
          <w:szCs w:val="24"/>
          <w:highlight w:val="none"/>
        </w:rPr>
      </w:pPr>
      <w:bookmarkStart w:id="87" w:name="_Toc106030878"/>
      <w:bookmarkEnd w:id="87"/>
      <w:bookmarkStart w:id="88" w:name="_Toc76462324"/>
      <w:bookmarkEnd w:id="88"/>
      <w:bookmarkStart w:id="89" w:name="_Toc3523"/>
      <w:bookmarkEnd w:id="89"/>
      <w:bookmarkStart w:id="90" w:name="_Toc26914"/>
      <w:bookmarkStart w:id="91" w:name="_Toc21696"/>
      <w:r>
        <w:rPr>
          <w:rFonts w:hint="eastAsia" w:hAnsi="宋体" w:cs="宋体"/>
          <w:color w:val="auto"/>
          <w:sz w:val="24"/>
          <w:szCs w:val="24"/>
          <w:highlight w:val="none"/>
        </w:rPr>
        <w:t>附件</w:t>
      </w:r>
      <w:bookmarkEnd w:id="90"/>
      <w:bookmarkEnd w:id="91"/>
    </w:p>
    <w:p>
      <w:pPr>
        <w:rPr>
          <w:rFonts w:ascii="宋体" w:hAnsi="宋体" w:cs="宋体"/>
          <w:b/>
          <w:color w:val="auto"/>
          <w:sz w:val="24"/>
          <w:szCs w:val="24"/>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lang w:eastAsia="zh-CN"/>
        </w:rPr>
        <w:t>比选文件发售登记表</w:t>
      </w:r>
    </w:p>
    <w:p>
      <w:pPr>
        <w:jc w:val="left"/>
        <w:rPr>
          <w:rFonts w:ascii="宋体" w:hAnsi="宋体" w:cs="宋体"/>
          <w:b/>
          <w:bCs/>
          <w:color w:val="auto"/>
          <w:spacing w:val="40"/>
          <w:highlight w:val="none"/>
        </w:rPr>
      </w:pPr>
    </w:p>
    <w:tbl>
      <w:tblPr>
        <w:tblStyle w:val="60"/>
        <w:tblW w:w="9782"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2129"/>
        <w:gridCol w:w="1528"/>
        <w:gridCol w:w="40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782" w:type="dxa"/>
            <w:gridSpan w:val="4"/>
            <w:noWrap w:val="0"/>
            <w:vAlign w:val="center"/>
          </w:tcPr>
          <w:p>
            <w:pPr>
              <w:jc w:val="left"/>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p>
          <w:p>
            <w:pPr>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24" w:type="dxa"/>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tc>
        <w:tc>
          <w:tcPr>
            <w:tcW w:w="7658" w:type="dxa"/>
            <w:gridSpan w:val="3"/>
            <w:noWrap w:val="0"/>
            <w:vAlign w:val="bottom"/>
          </w:tcPr>
          <w:p>
            <w:pPr>
              <w:spacing w:line="360" w:lineRule="exact"/>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24" w:type="dxa"/>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联系人</w:t>
            </w:r>
          </w:p>
        </w:tc>
        <w:tc>
          <w:tcPr>
            <w:tcW w:w="2129" w:type="dxa"/>
            <w:noWrap w:val="0"/>
            <w:vAlign w:val="center"/>
          </w:tcPr>
          <w:p>
            <w:pPr>
              <w:spacing w:line="360" w:lineRule="exact"/>
              <w:jc w:val="left"/>
              <w:rPr>
                <w:rFonts w:hint="eastAsia" w:ascii="宋体" w:hAnsi="宋体" w:eastAsia="宋体" w:cs="宋体"/>
                <w:color w:val="auto"/>
                <w:sz w:val="30"/>
                <w:szCs w:val="30"/>
                <w:highlight w:val="none"/>
              </w:rPr>
            </w:pPr>
          </w:p>
        </w:tc>
        <w:tc>
          <w:tcPr>
            <w:tcW w:w="1528" w:type="dxa"/>
            <w:noWrap w:val="0"/>
            <w:vAlign w:val="center"/>
          </w:tcPr>
          <w:p>
            <w:pPr>
              <w:spacing w:line="36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手机</w:t>
            </w:r>
          </w:p>
        </w:tc>
        <w:tc>
          <w:tcPr>
            <w:tcW w:w="4001" w:type="dxa"/>
            <w:noWrap w:val="0"/>
            <w:vAlign w:val="center"/>
          </w:tcPr>
          <w:p>
            <w:pPr>
              <w:spacing w:line="360" w:lineRule="exact"/>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4" w:type="dxa"/>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办公电话</w:t>
            </w:r>
          </w:p>
        </w:tc>
        <w:tc>
          <w:tcPr>
            <w:tcW w:w="2129" w:type="dxa"/>
            <w:noWrap w:val="0"/>
            <w:vAlign w:val="center"/>
          </w:tcPr>
          <w:p>
            <w:pPr>
              <w:spacing w:line="360" w:lineRule="exact"/>
              <w:jc w:val="left"/>
              <w:rPr>
                <w:rFonts w:hint="eastAsia" w:ascii="宋体" w:hAnsi="宋体" w:eastAsia="宋体" w:cs="宋体"/>
                <w:color w:val="auto"/>
                <w:sz w:val="30"/>
                <w:szCs w:val="30"/>
                <w:highlight w:val="none"/>
              </w:rPr>
            </w:pPr>
          </w:p>
        </w:tc>
        <w:tc>
          <w:tcPr>
            <w:tcW w:w="1528" w:type="dxa"/>
            <w:noWrap w:val="0"/>
            <w:vAlign w:val="center"/>
          </w:tcPr>
          <w:p>
            <w:pPr>
              <w:spacing w:line="36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传真</w:t>
            </w:r>
          </w:p>
        </w:tc>
        <w:tc>
          <w:tcPr>
            <w:tcW w:w="4001" w:type="dxa"/>
            <w:noWrap w:val="0"/>
            <w:vAlign w:val="center"/>
          </w:tcPr>
          <w:p>
            <w:pPr>
              <w:spacing w:line="360" w:lineRule="exact"/>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4" w:type="dxa"/>
            <w:vMerge w:val="restart"/>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退还保证金帐户信息</w:t>
            </w:r>
          </w:p>
        </w:tc>
        <w:tc>
          <w:tcPr>
            <w:tcW w:w="7658" w:type="dxa"/>
            <w:gridSpan w:val="3"/>
            <w:noWrap w:val="0"/>
            <w:vAlign w:val="center"/>
          </w:tcPr>
          <w:p>
            <w:pPr>
              <w:spacing w:line="36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开户行：                         （详尽至支行）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4" w:type="dxa"/>
            <w:vMerge w:val="continue"/>
            <w:noWrap w:val="0"/>
            <w:vAlign w:val="center"/>
          </w:tcPr>
          <w:p>
            <w:pPr>
              <w:spacing w:line="360" w:lineRule="exact"/>
              <w:jc w:val="center"/>
              <w:rPr>
                <w:rFonts w:hint="eastAsia" w:ascii="宋体" w:hAnsi="宋体" w:eastAsia="宋体" w:cs="宋体"/>
                <w:color w:val="auto"/>
                <w:sz w:val="30"/>
                <w:szCs w:val="30"/>
                <w:highlight w:val="none"/>
              </w:rPr>
            </w:pPr>
          </w:p>
        </w:tc>
        <w:tc>
          <w:tcPr>
            <w:tcW w:w="7658" w:type="dxa"/>
            <w:gridSpan w:val="3"/>
            <w:noWrap w:val="0"/>
            <w:vAlign w:val="center"/>
          </w:tcPr>
          <w:p>
            <w:pPr>
              <w:spacing w:line="360" w:lineRule="exact"/>
              <w:jc w:val="left"/>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val="en-US" w:eastAsia="zh-CN"/>
              </w:rPr>
              <w:t>账号：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4" w:type="dxa"/>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邮箱</w:t>
            </w:r>
          </w:p>
        </w:tc>
        <w:tc>
          <w:tcPr>
            <w:tcW w:w="7658" w:type="dxa"/>
            <w:gridSpan w:val="3"/>
            <w:noWrap w:val="0"/>
            <w:vAlign w:val="center"/>
          </w:tcPr>
          <w:p>
            <w:pPr>
              <w:spacing w:line="360" w:lineRule="exact"/>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24" w:type="dxa"/>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单位地址</w:t>
            </w:r>
          </w:p>
        </w:tc>
        <w:tc>
          <w:tcPr>
            <w:tcW w:w="7658" w:type="dxa"/>
            <w:gridSpan w:val="3"/>
            <w:noWrap w:val="0"/>
            <w:vAlign w:val="center"/>
          </w:tcPr>
          <w:p>
            <w:pPr>
              <w:spacing w:line="360" w:lineRule="exact"/>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782" w:type="dxa"/>
            <w:gridSpan w:val="4"/>
            <w:noWrap w:val="0"/>
            <w:vAlign w:val="center"/>
          </w:tcPr>
          <w:p>
            <w:pPr>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联系人：</w:t>
            </w:r>
            <w:r>
              <w:rPr>
                <w:rFonts w:hint="eastAsia" w:ascii="宋体" w:hAnsi="宋体" w:cs="宋体"/>
                <w:color w:val="auto"/>
                <w:sz w:val="30"/>
                <w:szCs w:val="30"/>
                <w:highlight w:val="none"/>
                <w:lang w:val="en-US" w:eastAsia="zh-CN"/>
              </w:rPr>
              <w:t>温</w:t>
            </w:r>
            <w:r>
              <w:rPr>
                <w:rFonts w:hint="eastAsia" w:ascii="宋体" w:hAnsi="宋体" w:eastAsia="宋体" w:cs="宋体"/>
                <w:color w:val="auto"/>
                <w:sz w:val="30"/>
                <w:szCs w:val="30"/>
                <w:highlight w:val="none"/>
              </w:rPr>
              <w:t>老师        电话：023-86394748</w:t>
            </w:r>
          </w:p>
        </w:tc>
      </w:tr>
    </w:tbl>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rPr>
        <w:t>未在规定时间内</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《比选文件发售登记表》发送至</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邮箱的供应商不具备投标资格</w:t>
      </w:r>
      <w:r>
        <w:rPr>
          <w:rFonts w:hint="eastAsia" w:asciiTheme="minorEastAsia" w:hAnsiTheme="minorEastAsia" w:eastAsiaTheme="minorEastAsia" w:cstheme="minorEastAsia"/>
          <w:color w:val="auto"/>
          <w:sz w:val="24"/>
          <w:szCs w:val="24"/>
          <w:highlight w:val="none"/>
          <w:lang w:eastAsia="zh-CN"/>
        </w:rPr>
        <w:t>。</w:t>
      </w: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color w:val="auto"/>
          <w:highlight w:val="none"/>
        </w:rPr>
      </w:pPr>
    </w:p>
    <w:p>
      <w:pPr>
        <w:pStyle w:val="4"/>
        <w:spacing w:before="0" w:after="0" w:line="360" w:lineRule="auto"/>
        <w:jc w:val="center"/>
        <w:rPr>
          <w:rFonts w:hint="eastAsia" w:asciiTheme="minorEastAsia" w:hAnsiTheme="minorEastAsia" w:eastAsiaTheme="minorEastAsia" w:cstheme="minorEastAsia"/>
          <w:b w:val="0"/>
          <w:color w:val="auto"/>
          <w:sz w:val="30"/>
          <w:szCs w:val="30"/>
          <w:highlight w:val="none"/>
        </w:rPr>
      </w:pPr>
      <w:bookmarkStart w:id="92" w:name="_Toc20389"/>
      <w:bookmarkStart w:id="93" w:name="_Toc31059"/>
      <w:bookmarkStart w:id="94" w:name="_Toc28796"/>
      <w:r>
        <w:rPr>
          <w:rFonts w:hint="eastAsia" w:asciiTheme="minorEastAsia" w:hAnsiTheme="minorEastAsia" w:eastAsiaTheme="minorEastAsia" w:cstheme="minorEastAsia"/>
          <w:bCs/>
          <w:color w:val="auto"/>
          <w:sz w:val="36"/>
          <w:szCs w:val="30"/>
          <w:highlight w:val="none"/>
        </w:rPr>
        <w:t>第二篇  项目服务需求</w:t>
      </w:r>
      <w:bookmarkEnd w:id="92"/>
      <w:bookmarkEnd w:id="93"/>
      <w:bookmarkEnd w:id="94"/>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5" w:name="_Toc76462325"/>
      <w:bookmarkEnd w:id="95"/>
      <w:bookmarkStart w:id="96" w:name="_Toc106030879"/>
      <w:bookmarkEnd w:id="96"/>
      <w:bookmarkStart w:id="97" w:name="_Toc14460"/>
      <w:bookmarkEnd w:id="97"/>
      <w:bookmarkStart w:id="98" w:name="_Toc23224"/>
      <w:bookmarkStart w:id="99" w:name="_Toc8186"/>
      <w:bookmarkStart w:id="100" w:name="_Toc30679"/>
      <w:bookmarkStart w:id="101" w:name="_Toc12789058"/>
      <w:r>
        <w:rPr>
          <w:rFonts w:hint="eastAsia" w:asciiTheme="minorEastAsia" w:hAnsiTheme="minorEastAsia" w:eastAsiaTheme="minorEastAsia" w:cstheme="minorEastAsia"/>
          <w:color w:val="auto"/>
          <w:sz w:val="24"/>
          <w:highlight w:val="none"/>
        </w:rPr>
        <w:t>一、项目</w:t>
      </w:r>
      <w:bookmarkEnd w:id="98"/>
      <w:bookmarkEnd w:id="99"/>
      <w:r>
        <w:rPr>
          <w:rFonts w:hint="eastAsia" w:asciiTheme="minorEastAsia" w:hAnsiTheme="minorEastAsia" w:eastAsiaTheme="minorEastAsia" w:cstheme="minorEastAsia"/>
          <w:color w:val="auto"/>
          <w:sz w:val="24"/>
          <w:highlight w:val="none"/>
        </w:rPr>
        <w:t>概况</w:t>
      </w:r>
      <w:bookmarkEnd w:id="100"/>
    </w:p>
    <w:bookmarkEnd w:id="101"/>
    <w:p>
      <w:pPr>
        <w:kinsoku/>
        <w:wordWrap/>
        <w:overflowPunct/>
        <w:topLinePunct w:val="0"/>
        <w:autoSpaceDE/>
        <w:autoSpaceDN/>
        <w:bidi w:val="0"/>
        <w:snapToGrid w:val="0"/>
        <w:spacing w:line="312" w:lineRule="auto"/>
        <w:ind w:firstLine="480" w:firstLineChars="200"/>
        <w:jc w:val="left"/>
        <w:textAlignment w:val="auto"/>
        <w:rPr>
          <w:rFonts w:hint="eastAsia" w:cs="宋体"/>
          <w:b w:val="0"/>
          <w:bCs w:val="0"/>
          <w:color w:val="auto"/>
          <w:sz w:val="24"/>
          <w:szCs w:val="24"/>
          <w:highlight w:val="none"/>
          <w:vertAlign w:val="baseline"/>
          <w:lang w:eastAsia="zh-CN"/>
        </w:rPr>
      </w:pPr>
      <w:bookmarkStart w:id="102" w:name="_Toc32034"/>
      <w:bookmarkStart w:id="103" w:name="_Toc22755"/>
      <w:r>
        <w:rPr>
          <w:rFonts w:hint="eastAsia" w:ascii="宋体" w:hAnsi="宋体" w:eastAsia="宋体" w:cs="宋体"/>
          <w:b w:val="0"/>
          <w:bCs w:val="0"/>
          <w:color w:val="auto"/>
          <w:sz w:val="24"/>
          <w:szCs w:val="24"/>
          <w:highlight w:val="none"/>
          <w:vertAlign w:val="baseline"/>
          <w:lang w:val="en-US" w:eastAsia="zh-CN"/>
        </w:rPr>
        <w:t>为了给游客提供更为丰富的服务，提升园区营商环境，丰富园区业态，提高游客吸引力，拟在重庆园博园开展“</w:t>
      </w:r>
      <w:r>
        <w:rPr>
          <w:rFonts w:hint="eastAsia" w:ascii="宋体" w:hAnsi="宋体" w:cs="宋体"/>
          <w:b w:val="0"/>
          <w:bCs w:val="0"/>
          <w:color w:val="auto"/>
          <w:sz w:val="24"/>
          <w:szCs w:val="24"/>
          <w:highlight w:val="none"/>
          <w:vertAlign w:val="baseline"/>
          <w:lang w:val="en-US" w:eastAsia="zh-CN"/>
        </w:rPr>
        <w:t>萌宠乐园项目</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根据工作安排，地点为</w:t>
      </w:r>
      <w:r>
        <w:rPr>
          <w:rFonts w:hint="eastAsia" w:ascii="宋体" w:hAnsi="宋体" w:eastAsia="宋体" w:cs="宋体"/>
          <w:b w:val="0"/>
          <w:bCs w:val="0"/>
          <w:color w:val="auto"/>
          <w:sz w:val="24"/>
          <w:szCs w:val="24"/>
          <w:highlight w:val="none"/>
          <w:vertAlign w:val="baseline"/>
          <w:lang w:val="en-US" w:eastAsia="zh-CN"/>
        </w:rPr>
        <w:t>现代园林展区里的湿地花谷。</w:t>
      </w:r>
      <w:r>
        <w:rPr>
          <w:rFonts w:hint="eastAsia" w:ascii="宋体" w:hAnsi="宋体" w:eastAsia="宋体" w:cs="宋体"/>
          <w:b w:val="0"/>
          <w:bCs w:val="0"/>
          <w:color w:val="auto"/>
          <w:sz w:val="24"/>
          <w:szCs w:val="24"/>
          <w:highlight w:val="none"/>
          <w:vertAlign w:val="baseline"/>
        </w:rPr>
        <w:t>现将</w:t>
      </w:r>
      <w:r>
        <w:rPr>
          <w:rFonts w:hint="eastAsia" w:ascii="宋体" w:hAnsi="宋体" w:eastAsia="宋体" w:cs="宋体"/>
          <w:b w:val="0"/>
          <w:bCs w:val="0"/>
          <w:color w:val="auto"/>
          <w:sz w:val="24"/>
          <w:szCs w:val="24"/>
          <w:highlight w:val="none"/>
          <w:vertAlign w:val="baseline"/>
          <w:lang w:val="en-US" w:eastAsia="zh-CN"/>
        </w:rPr>
        <w:t>此项目</w:t>
      </w:r>
      <w:r>
        <w:rPr>
          <w:rFonts w:hint="eastAsia" w:ascii="宋体" w:hAnsi="宋体" w:eastAsia="宋体" w:cs="宋体"/>
          <w:b w:val="0"/>
          <w:bCs w:val="0"/>
          <w:color w:val="auto"/>
          <w:sz w:val="24"/>
          <w:szCs w:val="24"/>
          <w:highlight w:val="none"/>
          <w:vertAlign w:val="baseline"/>
        </w:rPr>
        <w:t>对外</w:t>
      </w:r>
      <w:r>
        <w:rPr>
          <w:rFonts w:hint="eastAsia" w:ascii="宋体" w:hAnsi="宋体" w:cs="宋体"/>
          <w:b w:val="0"/>
          <w:bCs w:val="0"/>
          <w:color w:val="auto"/>
          <w:sz w:val="24"/>
          <w:szCs w:val="24"/>
          <w:highlight w:val="none"/>
          <w:vertAlign w:val="baseline"/>
          <w:lang w:val="en-US" w:eastAsia="zh-CN"/>
        </w:rPr>
        <w:t>招商</w:t>
      </w:r>
      <w:r>
        <w:rPr>
          <w:rFonts w:hint="eastAsia" w:cs="宋体"/>
          <w:b w:val="0"/>
          <w:bCs w:val="0"/>
          <w:color w:val="auto"/>
          <w:sz w:val="24"/>
          <w:szCs w:val="24"/>
          <w:highlight w:val="none"/>
          <w:vertAlign w:val="baseline"/>
          <w:lang w:eastAsia="zh-CN"/>
        </w:rPr>
        <w:t>。</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Fonts w:hint="eastAsia" w:ascii="宋体" w:hAnsi="宋体" w:eastAsia="宋体" w:cs="宋体"/>
          <w:b/>
          <w:bCs/>
          <w:color w:val="auto"/>
          <w:sz w:val="24"/>
          <w:szCs w:val="24"/>
          <w:highlight w:val="none"/>
        </w:rPr>
      </w:pPr>
      <w:r>
        <w:rPr>
          <w:rFonts w:hint="eastAsia" w:cs="宋体"/>
          <w:b/>
          <w:bCs/>
          <w:color w:val="auto"/>
          <w:sz w:val="24"/>
          <w:szCs w:val="24"/>
          <w:highlight w:val="none"/>
          <w:vertAlign w:val="baseline"/>
          <w:lang w:val="en-US" w:eastAsia="zh-CN"/>
        </w:rPr>
        <w:t>二</w:t>
      </w:r>
      <w:r>
        <w:rPr>
          <w:rFonts w:hint="eastAsia" w:ascii="宋体" w:hAnsi="宋体" w:eastAsia="宋体" w:cs="宋体"/>
          <w:b/>
          <w:bCs/>
          <w:color w:val="auto"/>
          <w:sz w:val="24"/>
          <w:szCs w:val="24"/>
          <w:highlight w:val="none"/>
          <w:vertAlign w:val="baseline"/>
        </w:rPr>
        <w:t>、园区基本情况</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重庆园博园于2011年11月19日开园，开园至今接待游客共计</w:t>
      </w:r>
      <w:r>
        <w:rPr>
          <w:rFonts w:hint="eastAsia" w:ascii="宋体" w:hAnsi="宋体" w:eastAsia="宋体" w:cs="宋体"/>
          <w:color w:val="auto"/>
          <w:sz w:val="24"/>
          <w:szCs w:val="24"/>
          <w:highlight w:val="none"/>
          <w:vertAlign w:val="baseline"/>
          <w:lang w:val="en-US" w:eastAsia="zh-CN"/>
        </w:rPr>
        <w:t>2000余万</w:t>
      </w:r>
      <w:r>
        <w:rPr>
          <w:rFonts w:hint="eastAsia" w:ascii="宋体" w:hAnsi="宋体" w:eastAsia="宋体" w:cs="宋体"/>
          <w:color w:val="auto"/>
          <w:sz w:val="24"/>
          <w:szCs w:val="24"/>
          <w:highlight w:val="none"/>
          <w:vertAlign w:val="baseline"/>
        </w:rPr>
        <w:t>人次。重庆园博园位于重庆两江新区核心区域，是第八届中国（重庆）国际园林博览会的会址，总面积2.2平方公里（其中水域0.53平方公里），汇集东西方园林精品，环境优美，交通便利，是一个集自然景观和人文景观为一体的超大型城市生态公园。</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default" w:ascii="宋体" w:hAnsi="宋体" w:eastAsia="宋体" w:cs="宋体"/>
          <w:b/>
          <w:bCs/>
          <w:color w:val="auto"/>
          <w:sz w:val="24"/>
          <w:szCs w:val="24"/>
          <w:highlight w:val="none"/>
          <w:lang w:val="en-US"/>
        </w:rPr>
      </w:pPr>
      <w:r>
        <w:rPr>
          <w:rFonts w:hint="eastAsia" w:cs="宋体"/>
          <w:b/>
          <w:bCs/>
          <w:color w:val="auto"/>
          <w:sz w:val="24"/>
          <w:szCs w:val="24"/>
          <w:highlight w:val="none"/>
          <w:vertAlign w:val="baseline"/>
          <w:lang w:val="en-US" w:eastAsia="zh-CN"/>
        </w:rPr>
        <w:t>三</w:t>
      </w:r>
      <w:r>
        <w:rPr>
          <w:rFonts w:hint="eastAsia" w:ascii="宋体" w:hAnsi="宋体" w:eastAsia="宋体" w:cs="宋体"/>
          <w:b/>
          <w:bCs/>
          <w:color w:val="auto"/>
          <w:sz w:val="24"/>
          <w:szCs w:val="24"/>
          <w:highlight w:val="none"/>
          <w:vertAlign w:val="baseline"/>
        </w:rPr>
        <w:t>、</w:t>
      </w:r>
      <w:r>
        <w:rPr>
          <w:rFonts w:hint="eastAsia" w:cs="宋体"/>
          <w:b/>
          <w:bCs/>
          <w:color w:val="auto"/>
          <w:sz w:val="24"/>
          <w:szCs w:val="24"/>
          <w:highlight w:val="none"/>
          <w:vertAlign w:val="baseline"/>
          <w:lang w:val="en-US" w:eastAsia="zh-CN"/>
        </w:rPr>
        <w:t>合作模式及要求</w:t>
      </w:r>
    </w:p>
    <w:p>
      <w:pPr>
        <w:keepNext w:val="0"/>
        <w:keepLines w:val="0"/>
        <w:pageBreakBefore w:val="0"/>
        <w:widowControl/>
        <w:numPr>
          <w:ilvl w:val="-1"/>
          <w:numId w:val="0"/>
        </w:numPr>
        <w:kinsoku/>
        <w:wordWrap/>
        <w:overflowPunct/>
        <w:topLinePunct w:val="0"/>
        <w:autoSpaceDE/>
        <w:autoSpaceDN/>
        <w:bidi w:val="0"/>
        <w:adjustRightInd/>
        <w:snapToGrid w:val="0"/>
        <w:spacing w:before="0" w:after="0" w:line="400" w:lineRule="exact"/>
        <w:ind w:leftChars="0" w:firstLine="540"/>
        <w:jc w:val="left"/>
        <w:textAlignment w:val="auto"/>
        <w:outlineLvl w:val="9"/>
        <w:rPr>
          <w:rFonts w:hint="eastAsia"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（一）</w:t>
      </w:r>
      <w:r>
        <w:rPr>
          <w:rFonts w:hint="eastAsia" w:ascii="宋体" w:hAnsi="宋体" w:eastAsia="宋体" w:cs="宋体"/>
          <w:color w:val="auto"/>
          <w:sz w:val="24"/>
          <w:szCs w:val="24"/>
          <w:highlight w:val="none"/>
          <w:vertAlign w:val="baseline"/>
          <w:lang w:val="en-US" w:eastAsia="zh-CN"/>
        </w:rPr>
        <w:t>合作期限：5年（自</w:t>
      </w:r>
      <w:r>
        <w:rPr>
          <w:rFonts w:hint="eastAsia" w:ascii="宋体" w:hAnsi="宋体" w:cs="宋体"/>
          <w:color w:val="auto"/>
          <w:sz w:val="24"/>
          <w:szCs w:val="24"/>
          <w:highlight w:val="none"/>
          <w:vertAlign w:val="baseline"/>
          <w:lang w:val="en-US" w:eastAsia="zh-CN"/>
        </w:rPr>
        <w:t>开园时间</w:t>
      </w:r>
      <w:r>
        <w:rPr>
          <w:rFonts w:hint="eastAsia" w:ascii="宋体" w:hAnsi="宋体" w:eastAsia="宋体" w:cs="宋体"/>
          <w:color w:val="auto"/>
          <w:sz w:val="24"/>
          <w:szCs w:val="24"/>
          <w:highlight w:val="none"/>
          <w:vertAlign w:val="baseline"/>
          <w:lang w:val="en-US" w:eastAsia="zh-CN"/>
        </w:rPr>
        <w:t>起计算）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建设期</w:t>
      </w:r>
      <w:r>
        <w:rPr>
          <w:rFonts w:hint="eastAsia" w:ascii="宋体" w:hAnsi="宋体" w:eastAsia="宋体" w:cs="宋体"/>
          <w:color w:val="auto"/>
          <w:sz w:val="24"/>
          <w:szCs w:val="24"/>
          <w:highlight w:val="none"/>
          <w:vertAlign w:val="baseline"/>
          <w:lang w:val="en-US" w:eastAsia="zh-CN"/>
        </w:rPr>
        <w:t>不计入合同经营周期，</w:t>
      </w:r>
      <w:r>
        <w:rPr>
          <w:rFonts w:hint="eastAsia" w:ascii="宋体" w:hAnsi="宋体" w:cs="宋体"/>
          <w:color w:val="auto"/>
          <w:sz w:val="24"/>
          <w:szCs w:val="24"/>
          <w:highlight w:val="none"/>
          <w:lang w:val="en-US" w:eastAsia="zh-CN"/>
        </w:rPr>
        <w:t>建设期原则上不超过6个月</w:t>
      </w:r>
      <w:r>
        <w:rPr>
          <w:rFonts w:hint="eastAsia" w:ascii="宋体" w:hAnsi="宋体" w:cs="宋体"/>
          <w:color w:val="auto"/>
          <w:sz w:val="24"/>
          <w:szCs w:val="24"/>
          <w:highlight w:val="none"/>
        </w:rPr>
        <w:t>。</w:t>
      </w:r>
      <w:r>
        <w:rPr>
          <w:rFonts w:hint="eastAsia" w:ascii="宋体" w:hAnsi="宋体" w:cs="宋体"/>
          <w:color w:val="auto"/>
          <w:sz w:val="24"/>
          <w:szCs w:val="24"/>
          <w:highlight w:val="none"/>
          <w:vertAlign w:val="baseline"/>
          <w:lang w:val="en-US" w:eastAsia="zh-CN"/>
        </w:rPr>
        <w:t>合作期限内成交供应商所经营种类及内容（动物）为园博园独家经营</w:t>
      </w:r>
      <w:r>
        <w:rPr>
          <w:rFonts w:hint="eastAsia"/>
          <w:color w:val="auto"/>
          <w:highlight w:val="none"/>
          <w:lang w:eastAsia="zh-CN"/>
        </w:rPr>
        <w:t>。</w:t>
      </w:r>
    </w:p>
    <w:p>
      <w:pPr>
        <w:numPr>
          <w:ilvl w:val="0"/>
          <w:numId w:val="0"/>
        </w:numPr>
        <w:snapToGrid w:val="0"/>
        <w:spacing w:line="400" w:lineRule="exact"/>
        <w:ind w:firstLine="54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（二）面积及具体地点：项目场所范围位于</w:t>
      </w:r>
      <w:r>
        <w:rPr>
          <w:rFonts w:hint="eastAsia" w:ascii="宋体" w:hAnsi="宋体" w:eastAsia="宋体" w:cs="宋体"/>
          <w:b w:val="0"/>
          <w:bCs w:val="0"/>
          <w:color w:val="auto"/>
          <w:sz w:val="24"/>
          <w:szCs w:val="24"/>
          <w:highlight w:val="none"/>
          <w:vertAlign w:val="baseline"/>
          <w:lang w:val="en-US" w:eastAsia="zh-CN"/>
        </w:rPr>
        <w:t>重庆园博园现代园林展区里的湿地花谷</w:t>
      </w:r>
      <w:r>
        <w:rPr>
          <w:rFonts w:hint="eastAsia" w:ascii="宋体" w:hAnsi="宋体" w:eastAsia="宋体" w:cs="宋体"/>
          <w:color w:val="auto"/>
          <w:sz w:val="24"/>
          <w:szCs w:val="24"/>
          <w:highlight w:val="none"/>
          <w:vertAlign w:val="baseline"/>
          <w:lang w:val="en-US" w:eastAsia="zh-CN"/>
        </w:rPr>
        <w:t>，约2.2万平方米</w:t>
      </w:r>
      <w:r>
        <w:rPr>
          <w:rFonts w:hint="eastAsia" w:ascii="宋体" w:hAnsi="宋体" w:cs="宋体"/>
          <w:color w:val="auto"/>
          <w:sz w:val="24"/>
          <w:szCs w:val="24"/>
          <w:highlight w:val="none"/>
          <w:vertAlign w:val="baseline"/>
          <w:lang w:val="en-US" w:eastAsia="zh-CN"/>
        </w:rPr>
        <w:t>（具体面积以红线图为准）</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比选人提供</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萌宠项目</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建设图纸及设施设备安装所需场地及建设许可。成交供应商合同期内自行出资建设运营维护。</w:t>
      </w:r>
    </w:p>
    <w:p>
      <w:pPr>
        <w:numPr>
          <w:ilvl w:val="0"/>
          <w:numId w:val="0"/>
        </w:numPr>
        <w:snapToGrid w:val="0"/>
        <w:spacing w:line="400" w:lineRule="exact"/>
        <w:ind w:firstLine="54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三</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供应商</w:t>
      </w:r>
      <w:r>
        <w:rPr>
          <w:rFonts w:hint="eastAsia" w:ascii="宋体" w:hAnsi="宋体" w:eastAsia="宋体" w:cs="宋体"/>
          <w:color w:val="auto"/>
          <w:sz w:val="24"/>
          <w:szCs w:val="24"/>
          <w:highlight w:val="none"/>
          <w:vertAlign w:val="baseline"/>
          <w:lang w:val="en-US" w:eastAsia="zh-CN"/>
        </w:rPr>
        <w:t>经营期内须自行提供运营设备及运营管理团队独立运营</w:t>
      </w:r>
      <w:r>
        <w:rPr>
          <w:rFonts w:hint="eastAsia" w:ascii="宋体" w:hAnsi="宋体" w:cs="宋体"/>
          <w:b w:val="0"/>
          <w:bCs w:val="0"/>
          <w:color w:val="auto"/>
          <w:sz w:val="24"/>
          <w:szCs w:val="24"/>
          <w:highlight w:val="none"/>
          <w:vertAlign w:val="baseline"/>
          <w:lang w:val="en-US" w:eastAsia="zh-CN"/>
        </w:rPr>
        <w:t>萌宠项目</w:t>
      </w:r>
      <w:r>
        <w:rPr>
          <w:rFonts w:hint="eastAsia" w:ascii="宋体" w:hAnsi="宋体" w:eastAsia="宋体" w:cs="宋体"/>
          <w:color w:val="auto"/>
          <w:sz w:val="24"/>
          <w:szCs w:val="24"/>
          <w:highlight w:val="none"/>
          <w:vertAlign w:val="baseline"/>
          <w:lang w:val="en-US" w:eastAsia="zh-CN"/>
        </w:rPr>
        <w:t>，并按需求进行设施设备、经营围挡、临时管理用房等必要的配套设施建设，自行负责经营场所的安全、卫生、设施设备的维修维护等，不允许进行转租或委托经营。</w:t>
      </w:r>
    </w:p>
    <w:p>
      <w:pPr>
        <w:keepNext w:val="0"/>
        <w:keepLines w:val="0"/>
        <w:pageBreakBefore w:val="0"/>
        <w:widowControl/>
        <w:numPr>
          <w:ilvl w:val="-1"/>
          <w:numId w:val="0"/>
        </w:numPr>
        <w:kinsoku/>
        <w:wordWrap/>
        <w:overflowPunct/>
        <w:topLinePunct w:val="0"/>
        <w:autoSpaceDE/>
        <w:autoSpaceDN/>
        <w:bidi w:val="0"/>
        <w:adjustRightInd/>
        <w:snapToGrid w:val="0"/>
        <w:spacing w:before="0" w:after="0" w:line="400" w:lineRule="exact"/>
        <w:ind w:leftChars="0" w:firstLine="54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四</w:t>
      </w:r>
      <w:r>
        <w:rPr>
          <w:rFonts w:hint="eastAsia" w:ascii="宋体" w:hAnsi="宋体" w:eastAsia="宋体" w:cs="宋体"/>
          <w:color w:val="auto"/>
          <w:sz w:val="24"/>
          <w:szCs w:val="24"/>
          <w:highlight w:val="none"/>
          <w:vertAlign w:val="baseline"/>
          <w:lang w:val="en-US" w:eastAsia="zh-CN"/>
        </w:rPr>
        <w:t>）采用“保底+分成”复合型模式，基础年保底营业额为人民币800万元，</w:t>
      </w:r>
      <w:r>
        <w:rPr>
          <w:rFonts w:hint="eastAsia"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营业额</w:t>
      </w:r>
      <w:r>
        <w:rPr>
          <w:rFonts w:hint="eastAsia" w:cs="宋体"/>
          <w:color w:val="auto"/>
          <w:sz w:val="24"/>
          <w:szCs w:val="24"/>
          <w:highlight w:val="none"/>
          <w:vertAlign w:val="baseline"/>
          <w:lang w:val="en-US" w:eastAsia="zh-CN"/>
        </w:rPr>
        <w:t>分成比例最低</w:t>
      </w:r>
      <w:r>
        <w:rPr>
          <w:rFonts w:hint="eastAsia" w:ascii="宋体" w:hAnsi="宋体" w:eastAsia="宋体" w:cs="宋体"/>
          <w:color w:val="auto"/>
          <w:sz w:val="24"/>
          <w:szCs w:val="24"/>
          <w:highlight w:val="none"/>
          <w:vertAlign w:val="baseline"/>
          <w:lang w:val="en-US" w:eastAsia="zh-CN"/>
        </w:rPr>
        <w:t>15%</w:t>
      </w:r>
      <w:r>
        <w:rPr>
          <w:rFonts w:hint="eastAsia" w:ascii="宋体" w:hAnsi="宋体" w:cs="宋体"/>
          <w:color w:val="auto"/>
          <w:sz w:val="24"/>
          <w:szCs w:val="24"/>
          <w:highlight w:val="none"/>
          <w:vertAlign w:val="baseline"/>
          <w:lang w:val="en-US" w:eastAsia="zh-CN"/>
        </w:rPr>
        <w:t>/年</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成交供应商</w:t>
      </w:r>
      <w:r>
        <w:rPr>
          <w:rFonts w:hint="eastAsia" w:ascii="宋体" w:hAnsi="宋体" w:eastAsia="宋体" w:cs="宋体"/>
          <w:color w:val="auto"/>
          <w:sz w:val="24"/>
          <w:szCs w:val="24"/>
          <w:highlight w:val="none"/>
          <w:vertAlign w:val="baseline"/>
          <w:lang w:val="en-US" w:eastAsia="zh-CN"/>
        </w:rPr>
        <w:t>营业额</w:t>
      </w:r>
      <w:r>
        <w:rPr>
          <w:rFonts w:hint="eastAsia" w:cs="宋体"/>
          <w:color w:val="auto"/>
          <w:sz w:val="24"/>
          <w:szCs w:val="24"/>
          <w:highlight w:val="none"/>
          <w:vertAlign w:val="baseline"/>
          <w:lang w:val="en-US" w:eastAsia="zh-CN"/>
        </w:rPr>
        <w:t>分成比例最高</w:t>
      </w:r>
      <w:r>
        <w:rPr>
          <w:rFonts w:hint="eastAsia" w:ascii="宋体" w:hAnsi="宋体" w:eastAsia="宋体" w:cs="宋体"/>
          <w:color w:val="auto"/>
          <w:sz w:val="24"/>
          <w:szCs w:val="24"/>
          <w:highlight w:val="none"/>
          <w:vertAlign w:val="baseline"/>
          <w:lang w:val="en-US" w:eastAsia="zh-CN"/>
        </w:rPr>
        <w:t>85%</w:t>
      </w:r>
      <w:r>
        <w:rPr>
          <w:rFonts w:hint="eastAsia" w:ascii="宋体" w:hAnsi="宋体" w:cs="宋体"/>
          <w:color w:val="auto"/>
          <w:sz w:val="24"/>
          <w:szCs w:val="24"/>
          <w:highlight w:val="none"/>
          <w:vertAlign w:val="baseline"/>
          <w:lang w:val="en-US" w:eastAsia="zh-CN"/>
        </w:rPr>
        <w:t>/年</w:t>
      </w:r>
      <w:r>
        <w:rPr>
          <w:rFonts w:hint="eastAsia" w:ascii="宋体" w:hAnsi="宋体" w:eastAsia="宋体" w:cs="宋体"/>
          <w:color w:val="auto"/>
          <w:sz w:val="24"/>
          <w:szCs w:val="24"/>
          <w:highlight w:val="none"/>
          <w:vertAlign w:val="baseli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before="0" w:after="0" w:line="400" w:lineRule="exact"/>
        <w:ind w:leftChars="0" w:firstLine="540"/>
        <w:jc w:val="left"/>
        <w:textAlignment w:val="auto"/>
        <w:outlineLvl w:val="9"/>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aps w:val="0"/>
          <w:smallCaps w:val="0"/>
          <w:vanish w:val="0"/>
          <w:color w:val="auto"/>
          <w:sz w:val="24"/>
          <w:szCs w:val="24"/>
          <w:highlight w:val="none"/>
          <w:lang w:val="en-US"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aps w:val="0"/>
          <w:smallCaps w:val="0"/>
          <w:vanish w:val="0"/>
          <w:color w:val="auto"/>
          <w:sz w:val="24"/>
          <w:szCs w:val="24"/>
          <w:highlight w:val="none"/>
          <w:lang w:val="en-US" w:eastAsia="zh-CN"/>
        </w:rPr>
        <w:t>报价的</w:t>
      </w:r>
      <w:r>
        <w:rPr>
          <w:rFonts w:hint="eastAsia" w:ascii="宋体" w:hAnsi="宋体" w:cs="宋体"/>
          <w:caps w:val="0"/>
          <w:smallCaps w:val="0"/>
          <w:vanish w:val="0"/>
          <w:color w:val="auto"/>
          <w:sz w:val="24"/>
          <w:szCs w:val="24"/>
          <w:highlight w:val="none"/>
          <w:lang w:val="en-US" w:eastAsia="zh-CN"/>
        </w:rPr>
        <w:t>年</w:t>
      </w:r>
      <w:r>
        <w:rPr>
          <w:rFonts w:hint="eastAsia" w:ascii="宋体" w:hAnsi="宋体" w:eastAsia="宋体" w:cs="宋体"/>
          <w:caps w:val="0"/>
          <w:smallCaps w:val="0"/>
          <w:vanish w:val="0"/>
          <w:color w:val="auto"/>
          <w:sz w:val="24"/>
          <w:szCs w:val="24"/>
          <w:highlight w:val="none"/>
          <w:lang w:val="en-US" w:eastAsia="zh-CN"/>
        </w:rPr>
        <w:t>保底营业额（包含</w:t>
      </w:r>
      <w:r>
        <w:rPr>
          <w:rFonts w:hint="eastAsia" w:ascii="宋体" w:hAnsi="宋体" w:cs="宋体"/>
          <w:caps w:val="0"/>
          <w:smallCaps w:val="0"/>
          <w:vanish w:val="0"/>
          <w:color w:val="auto"/>
          <w:sz w:val="24"/>
          <w:szCs w:val="24"/>
          <w:highlight w:val="none"/>
          <w:lang w:val="en-US" w:eastAsia="zh-CN"/>
        </w:rPr>
        <w:t>门票</w:t>
      </w:r>
      <w:r>
        <w:rPr>
          <w:rFonts w:hint="eastAsia" w:ascii="宋体" w:hAnsi="宋体" w:eastAsia="宋体" w:cs="宋体"/>
          <w:caps w:val="0"/>
          <w:smallCaps w:val="0"/>
          <w:vanish w:val="0"/>
          <w:color w:val="auto"/>
          <w:sz w:val="24"/>
          <w:szCs w:val="24"/>
          <w:highlight w:val="none"/>
          <w:lang w:val="en-US" w:eastAsia="zh-CN"/>
        </w:rPr>
        <w:t>票款、周边服务收入、</w:t>
      </w:r>
      <w:r>
        <w:rPr>
          <w:rFonts w:hint="eastAsia" w:ascii="宋体" w:hAnsi="宋体" w:cs="宋体"/>
          <w:caps w:val="0"/>
          <w:smallCaps w:val="0"/>
          <w:vanish w:val="0"/>
          <w:color w:val="auto"/>
          <w:sz w:val="24"/>
          <w:szCs w:val="24"/>
          <w:highlight w:val="none"/>
          <w:lang w:val="en-US" w:eastAsia="zh-CN"/>
        </w:rPr>
        <w:t>游乐收入、</w:t>
      </w:r>
      <w:r>
        <w:rPr>
          <w:rFonts w:hint="eastAsia" w:ascii="宋体" w:hAnsi="宋体" w:eastAsia="宋体" w:cs="宋体"/>
          <w:caps w:val="0"/>
          <w:smallCaps w:val="0"/>
          <w:vanish w:val="0"/>
          <w:color w:val="auto"/>
          <w:sz w:val="24"/>
          <w:szCs w:val="24"/>
          <w:highlight w:val="none"/>
          <w:lang w:val="en-US" w:eastAsia="zh-CN"/>
        </w:rPr>
        <w:t>广告收入等全部收入）不得低于800万元</w:t>
      </w:r>
      <w:r>
        <w:rPr>
          <w:rFonts w:hint="eastAsia" w:ascii="宋体" w:hAnsi="宋体" w:cs="宋体"/>
          <w:caps w:val="0"/>
          <w:smallCaps w:val="0"/>
          <w:vanish w:val="0"/>
          <w:color w:val="auto"/>
          <w:sz w:val="24"/>
          <w:szCs w:val="24"/>
          <w:highlight w:val="none"/>
          <w:lang w:val="en-US" w:eastAsia="zh-CN"/>
        </w:rPr>
        <w:t>/年</w:t>
      </w:r>
      <w:r>
        <w:rPr>
          <w:rFonts w:hint="eastAsia" w:ascii="宋体" w:hAnsi="宋体" w:eastAsia="宋体" w:cs="宋体"/>
          <w:caps w:val="0"/>
          <w:smallCaps w:val="0"/>
          <w:vanish w:val="0"/>
          <w:color w:val="auto"/>
          <w:sz w:val="24"/>
          <w:szCs w:val="24"/>
          <w:highlight w:val="none"/>
          <w:lang w:val="en-US" w:eastAsia="zh-CN"/>
        </w:rPr>
        <w:t>，</w:t>
      </w:r>
      <w:r>
        <w:rPr>
          <w:rFonts w:hint="eastAsia" w:ascii="宋体" w:hAnsi="宋体" w:cs="宋体"/>
          <w:caps w:val="0"/>
          <w:smallCaps w:val="0"/>
          <w:vanish w:val="0"/>
          <w:color w:val="auto"/>
          <w:sz w:val="24"/>
          <w:szCs w:val="24"/>
          <w:highlight w:val="none"/>
          <w:lang w:val="en-US" w:eastAsia="zh-CN"/>
        </w:rPr>
        <w:t>比选人营业额</w:t>
      </w:r>
      <w:r>
        <w:rPr>
          <w:rFonts w:hint="eastAsia" w:ascii="宋体" w:hAnsi="宋体" w:eastAsia="宋体" w:cs="宋体"/>
          <w:caps w:val="0"/>
          <w:smallCaps w:val="0"/>
          <w:vanish w:val="0"/>
          <w:color w:val="auto"/>
          <w:sz w:val="24"/>
          <w:szCs w:val="24"/>
          <w:highlight w:val="none"/>
          <w:lang w:val="en-US" w:eastAsia="zh-CN"/>
        </w:rPr>
        <w:t>分成比例不得低于15%</w:t>
      </w:r>
      <w:r>
        <w:rPr>
          <w:rFonts w:hint="eastAsia" w:ascii="宋体" w:hAnsi="宋体" w:cs="宋体"/>
          <w:caps w:val="0"/>
          <w:smallCaps w:val="0"/>
          <w:vanish w:val="0"/>
          <w:color w:val="auto"/>
          <w:sz w:val="24"/>
          <w:szCs w:val="24"/>
          <w:highlight w:val="none"/>
          <w:lang w:val="en-US" w:eastAsia="zh-CN"/>
        </w:rPr>
        <w:t>/年，成交供应商营业额分成比例不得高于8</w:t>
      </w:r>
      <w:r>
        <w:rPr>
          <w:rFonts w:hint="eastAsia" w:ascii="宋体" w:hAnsi="宋体" w:eastAsia="宋体" w:cs="宋体"/>
          <w:caps w:val="0"/>
          <w:smallCaps w:val="0"/>
          <w:vanish w:val="0"/>
          <w:color w:val="auto"/>
          <w:sz w:val="24"/>
          <w:szCs w:val="24"/>
          <w:highlight w:val="none"/>
          <w:lang w:val="en-US" w:eastAsia="zh-CN"/>
        </w:rPr>
        <w:t>5%</w:t>
      </w:r>
      <w:r>
        <w:rPr>
          <w:rFonts w:hint="eastAsia" w:ascii="宋体" w:hAnsi="宋体" w:cs="宋体"/>
          <w:caps w:val="0"/>
          <w:smallCaps w:val="0"/>
          <w:vanish w:val="0"/>
          <w:color w:val="auto"/>
          <w:sz w:val="24"/>
          <w:szCs w:val="24"/>
          <w:highlight w:val="none"/>
          <w:lang w:val="en-US" w:eastAsia="zh-CN"/>
        </w:rPr>
        <w:t>/年</w:t>
      </w:r>
      <w:r>
        <w:rPr>
          <w:rFonts w:hint="eastAsia" w:ascii="宋体" w:hAnsi="宋体" w:eastAsia="宋体" w:cs="宋体"/>
          <w:caps w:val="0"/>
          <w:smallCaps w:val="0"/>
          <w:vanish w:val="0"/>
          <w:color w:val="auto"/>
          <w:sz w:val="24"/>
          <w:szCs w:val="24"/>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before="0" w:after="0" w:line="400" w:lineRule="exact"/>
        <w:ind w:leftChars="0" w:firstLine="540"/>
        <w:jc w:val="left"/>
        <w:textAlignment w:val="auto"/>
        <w:outlineLvl w:val="9"/>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aps w:val="0"/>
          <w:smallCaps w:val="0"/>
          <w:vanish w:val="0"/>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w:t>
      </w:r>
      <w:r>
        <w:rPr>
          <w:rFonts w:hint="eastAsia" w:ascii="宋体" w:hAnsi="宋体" w:eastAsia="宋体" w:cs="宋体"/>
          <w:caps w:val="0"/>
          <w:smallCaps w:val="0"/>
          <w:vanish w:val="0"/>
          <w:color w:val="auto"/>
          <w:sz w:val="24"/>
          <w:szCs w:val="24"/>
          <w:highlight w:val="none"/>
          <w:lang w:val="en-US" w:eastAsia="zh-CN"/>
        </w:rPr>
        <w:t>最终按成交供应商报价确定保底营业额及分成比例（例：成交供应商报1000万元保底、</w:t>
      </w:r>
      <w:r>
        <w:rPr>
          <w:rFonts w:hint="eastAsia" w:ascii="宋体" w:hAnsi="宋体" w:cs="宋体"/>
          <w:caps w:val="0"/>
          <w:smallCaps w:val="0"/>
          <w:vanish w:val="0"/>
          <w:color w:val="auto"/>
          <w:sz w:val="24"/>
          <w:szCs w:val="24"/>
          <w:highlight w:val="none"/>
          <w:lang w:val="en-US" w:eastAsia="zh-CN"/>
        </w:rPr>
        <w:t>比选人</w:t>
      </w:r>
      <w:r>
        <w:rPr>
          <w:rFonts w:hint="eastAsia" w:ascii="宋体" w:hAnsi="宋体" w:eastAsia="宋体" w:cs="宋体"/>
          <w:caps w:val="0"/>
          <w:smallCaps w:val="0"/>
          <w:vanish w:val="0"/>
          <w:color w:val="auto"/>
          <w:sz w:val="24"/>
          <w:szCs w:val="24"/>
          <w:highlight w:val="none"/>
          <w:lang w:val="en-US" w:eastAsia="zh-CN"/>
        </w:rPr>
        <w:t>15%分成，则实际保底为1000万元，</w:t>
      </w:r>
      <w:r>
        <w:rPr>
          <w:rFonts w:hint="eastAsia" w:ascii="宋体" w:hAnsi="宋体" w:cs="宋体"/>
          <w:caps w:val="0"/>
          <w:smallCaps w:val="0"/>
          <w:vanish w:val="0"/>
          <w:color w:val="auto"/>
          <w:sz w:val="24"/>
          <w:szCs w:val="24"/>
          <w:highlight w:val="none"/>
          <w:lang w:val="en-US" w:eastAsia="zh-CN"/>
        </w:rPr>
        <w:t>比选人</w:t>
      </w:r>
      <w:r>
        <w:rPr>
          <w:rFonts w:hint="eastAsia" w:ascii="宋体" w:hAnsi="宋体" w:eastAsia="宋体" w:cs="宋体"/>
          <w:caps w:val="0"/>
          <w:smallCaps w:val="0"/>
          <w:vanish w:val="0"/>
          <w:color w:val="auto"/>
          <w:sz w:val="24"/>
          <w:szCs w:val="24"/>
          <w:highlight w:val="none"/>
          <w:lang w:val="en-US" w:eastAsia="zh-CN"/>
        </w:rPr>
        <w:t>年度分成收益为1000万×15%=150万元）。若实际分成收益未达</w:t>
      </w:r>
      <w:r>
        <w:rPr>
          <w:rFonts w:hint="eastAsia" w:ascii="宋体" w:hAnsi="宋体" w:cs="宋体"/>
          <w:caps w:val="0"/>
          <w:smallCaps w:val="0"/>
          <w:vanish w:val="0"/>
          <w:color w:val="auto"/>
          <w:sz w:val="24"/>
          <w:szCs w:val="24"/>
          <w:highlight w:val="none"/>
          <w:lang w:val="en-US" w:eastAsia="zh-CN"/>
        </w:rPr>
        <w:t>到</w:t>
      </w:r>
      <w:r>
        <w:rPr>
          <w:rFonts w:hint="eastAsia" w:ascii="宋体" w:hAnsi="宋体" w:eastAsia="宋体" w:cs="宋体"/>
          <w:caps w:val="0"/>
          <w:smallCaps w:val="0"/>
          <w:vanish w:val="0"/>
          <w:color w:val="auto"/>
          <w:sz w:val="24"/>
          <w:szCs w:val="24"/>
          <w:highlight w:val="none"/>
          <w:lang w:val="en-US" w:eastAsia="zh-CN"/>
        </w:rPr>
        <w:t>成交报价计算的金额，由成交供应商全额补足。</w:t>
      </w:r>
    </w:p>
    <w:p>
      <w:pPr>
        <w:keepNext w:val="0"/>
        <w:keepLines w:val="0"/>
        <w:pageBreakBefore w:val="0"/>
        <w:widowControl/>
        <w:numPr>
          <w:ilvl w:val="-1"/>
          <w:numId w:val="0"/>
        </w:numPr>
        <w:kinsoku/>
        <w:wordWrap/>
        <w:overflowPunct/>
        <w:topLinePunct w:val="0"/>
        <w:autoSpaceDE/>
        <w:autoSpaceDN/>
        <w:bidi w:val="0"/>
        <w:adjustRightInd/>
        <w:snapToGrid w:val="0"/>
        <w:spacing w:before="0" w:after="0" w:line="400" w:lineRule="exact"/>
        <w:ind w:leftChars="0" w:firstLine="540"/>
        <w:jc w:val="left"/>
        <w:textAlignment w:val="auto"/>
        <w:outlineLvl w:val="9"/>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rPr>
        <w:t>（七）五年后，成交供应商投入的</w:t>
      </w:r>
      <w:r>
        <w:rPr>
          <w:rFonts w:hint="eastAsia" w:ascii="宋体" w:hAnsi="宋体" w:cs="宋体"/>
          <w:caps w:val="0"/>
          <w:smallCaps w:val="0"/>
          <w:vanish w:val="0"/>
          <w:color w:val="auto"/>
          <w:sz w:val="24"/>
          <w:szCs w:val="24"/>
          <w:highlight w:val="none"/>
          <w:lang w:val="en-US" w:eastAsia="zh-CN"/>
        </w:rPr>
        <w:t>不可移动的</w:t>
      </w:r>
      <w:r>
        <w:rPr>
          <w:rFonts w:hint="eastAsia" w:ascii="宋体" w:hAnsi="宋体" w:eastAsia="宋体" w:cs="宋体"/>
          <w:caps w:val="0"/>
          <w:smallCaps w:val="0"/>
          <w:vanish w:val="0"/>
          <w:color w:val="auto"/>
          <w:sz w:val="24"/>
          <w:szCs w:val="24"/>
          <w:highlight w:val="none"/>
          <w:lang w:val="en-US" w:eastAsia="zh-CN"/>
        </w:rPr>
        <w:t>基础设施（如动物场馆、游客互动区、配套设施）及乐园硬件（无法移动的装置）所有权归重庆园博园。</w:t>
      </w:r>
    </w:p>
    <w:p>
      <w:pPr>
        <w:widowControl/>
        <w:numPr>
          <w:ilvl w:val="0"/>
          <w:numId w:val="0"/>
        </w:numPr>
        <w:snapToGrid w:val="0"/>
        <w:spacing w:line="400" w:lineRule="exact"/>
        <w:ind w:firstLine="54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aps w:val="0"/>
          <w:smallCaps w:val="0"/>
          <w:vanish w:val="0"/>
          <w:color w:val="auto"/>
          <w:sz w:val="24"/>
          <w:szCs w:val="24"/>
          <w:highlight w:val="none"/>
          <w:lang w:val="en-US" w:eastAsia="zh-CN"/>
        </w:rPr>
        <w:t>（八）乐园经营的全部收入（</w:t>
      </w:r>
      <w:r>
        <w:rPr>
          <w:rFonts w:hint="eastAsia" w:ascii="宋体" w:hAnsi="宋体" w:cs="宋体"/>
          <w:caps w:val="0"/>
          <w:smallCaps w:val="0"/>
          <w:vanish w:val="0"/>
          <w:color w:val="auto"/>
          <w:sz w:val="24"/>
          <w:szCs w:val="24"/>
          <w:highlight w:val="none"/>
          <w:lang w:val="en-US" w:eastAsia="zh-CN"/>
        </w:rPr>
        <w:t>包括但不限于</w:t>
      </w:r>
      <w:r>
        <w:rPr>
          <w:rFonts w:hint="eastAsia" w:ascii="宋体" w:hAnsi="宋体" w:eastAsia="宋体" w:cs="宋体"/>
          <w:caps w:val="0"/>
          <w:smallCaps w:val="0"/>
          <w:vanish w:val="0"/>
          <w:color w:val="auto"/>
          <w:sz w:val="24"/>
          <w:szCs w:val="24"/>
          <w:highlight w:val="none"/>
          <w:lang w:val="en-US" w:eastAsia="zh-CN"/>
        </w:rPr>
        <w:t>门票、衍生品销售、活动收费等二次消费收入）需统一进入比选人指定的收费平台，禁止私设其他收款渠道</w:t>
      </w:r>
      <w:r>
        <w:rPr>
          <w:rFonts w:hint="eastAsia" w:ascii="宋体" w:hAnsi="宋体" w:cs="宋体"/>
          <w:caps w:val="0"/>
          <w:smallCaps w:val="0"/>
          <w:vanish w:val="0"/>
          <w:color w:val="auto"/>
          <w:sz w:val="24"/>
          <w:szCs w:val="24"/>
          <w:highlight w:val="none"/>
          <w:lang w:val="en-US" w:eastAsia="zh-CN"/>
        </w:rPr>
        <w:t>，若比选人发现成交供应商</w:t>
      </w:r>
      <w:r>
        <w:rPr>
          <w:rFonts w:hint="eastAsia" w:ascii="宋体" w:hAnsi="宋体" w:eastAsia="宋体" w:cs="宋体"/>
          <w:caps w:val="0"/>
          <w:smallCaps w:val="0"/>
          <w:vanish w:val="0"/>
          <w:color w:val="auto"/>
          <w:sz w:val="24"/>
          <w:szCs w:val="24"/>
          <w:highlight w:val="none"/>
          <w:lang w:val="en-US" w:eastAsia="zh-CN"/>
        </w:rPr>
        <w:t>私设其他收款渠道，发现第一次罚款10万元，发现第二次罚款30万元，发现第三次比选人有权单方解除合同，且造成的一切损失由成交供应商自行承担。后续按约定比例和时间完成分成结算。</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九</w:t>
      </w:r>
      <w:r>
        <w:rPr>
          <w:rFonts w:hint="eastAsia" w:ascii="宋体" w:hAnsi="宋体" w:eastAsia="宋体" w:cs="宋体"/>
          <w:color w:val="auto"/>
          <w:sz w:val="24"/>
          <w:szCs w:val="24"/>
          <w:highlight w:val="none"/>
          <w:vertAlign w:val="baseline"/>
          <w:lang w:val="en-US" w:eastAsia="zh-CN"/>
        </w:rPr>
        <w:t>）所有手续和相关证件由</w:t>
      </w:r>
      <w:r>
        <w:rPr>
          <w:rFonts w:hint="eastAsia" w:cs="宋体"/>
          <w:color w:val="auto"/>
          <w:sz w:val="24"/>
          <w:szCs w:val="24"/>
          <w:highlight w:val="none"/>
          <w:vertAlign w:val="baseline"/>
          <w:lang w:val="en-US" w:eastAsia="zh-CN"/>
        </w:rPr>
        <w:t>成交供应商</w:t>
      </w:r>
      <w:r>
        <w:rPr>
          <w:rFonts w:hint="eastAsia" w:ascii="宋体" w:hAnsi="宋体" w:eastAsia="宋体" w:cs="宋体"/>
          <w:color w:val="auto"/>
          <w:sz w:val="24"/>
          <w:szCs w:val="24"/>
          <w:highlight w:val="none"/>
          <w:vertAlign w:val="baseline"/>
          <w:lang w:val="en-US" w:eastAsia="zh-CN"/>
        </w:rPr>
        <w:t>自行办理，须按园区规定时间开放经营，不得无故停业。营业期间自觉接受相关部门的监督和检查，所建设施设备应符合国家相关标准，项目验收时需提供设施设备的正规出厂证明、质检证书等。</w:t>
      </w:r>
    </w:p>
    <w:p>
      <w:pPr>
        <w:pStyle w:val="5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红线范围内经营种类（包括但不限于门票、游乐设施、二消、衍生品、活动等）及规模由成交供应商自主确定后实施</w:t>
      </w:r>
      <w:r>
        <w:rPr>
          <w:rFonts w:hint="eastAsia" w:cs="宋体"/>
          <w:color w:val="auto"/>
          <w:sz w:val="24"/>
          <w:szCs w:val="24"/>
          <w:highlight w:val="none"/>
          <w:vertAlign w:val="baseline"/>
          <w:lang w:val="en-US" w:eastAsia="zh-CN"/>
        </w:rPr>
        <w:t>，并</w:t>
      </w:r>
      <w:r>
        <w:rPr>
          <w:rFonts w:hint="eastAsia" w:ascii="宋体" w:hAnsi="宋体" w:eastAsia="宋体" w:cs="宋体"/>
          <w:color w:val="auto"/>
          <w:sz w:val="24"/>
          <w:szCs w:val="24"/>
          <w:highlight w:val="none"/>
          <w:vertAlign w:val="baseline"/>
          <w:lang w:val="en-US" w:eastAsia="zh-CN"/>
        </w:rPr>
        <w:t>严格按照《城市公园配套服务项目经营管理暂行办法》经营，不得在园区从事会员形式的经营和高档消费。商家售票价格须报园方备案，价格不得明显高于市场价，做到明码实价。</w:t>
      </w:r>
    </w:p>
    <w:p>
      <w:pPr>
        <w:pStyle w:val="5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红线范围内，郑州园作为文创售卖店经营分成。</w:t>
      </w:r>
    </w:p>
    <w:p>
      <w:pPr>
        <w:pStyle w:val="5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（十二）</w:t>
      </w:r>
      <w:r>
        <w:rPr>
          <w:rFonts w:hint="eastAsia" w:ascii="宋体" w:hAnsi="宋体" w:eastAsia="宋体" w:cs="宋体"/>
          <w:color w:val="auto"/>
          <w:sz w:val="24"/>
          <w:szCs w:val="24"/>
          <w:highlight w:val="none"/>
          <w:vertAlign w:val="baseline"/>
          <w:lang w:val="en-US" w:eastAsia="zh-CN"/>
        </w:rPr>
        <w:t>不得违规使用液化石油气、煤炭、木炭等燃料，经营过程中不得污染园区环境。</w:t>
      </w:r>
    </w:p>
    <w:p>
      <w:pPr>
        <w:pStyle w:val="5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（十三）成交供应商</w:t>
      </w:r>
      <w:r>
        <w:rPr>
          <w:rFonts w:hint="eastAsia" w:ascii="宋体" w:hAnsi="宋体" w:eastAsia="宋体" w:cs="宋体"/>
          <w:color w:val="auto"/>
          <w:sz w:val="24"/>
          <w:szCs w:val="24"/>
          <w:highlight w:val="none"/>
          <w:vertAlign w:val="baseline"/>
          <w:lang w:val="en-US" w:eastAsia="zh-CN"/>
        </w:rPr>
        <w:t>不得占用公共空间，在经营区域内自行配备足量的消防器材，同时需要通过消防部门检查。</w:t>
      </w:r>
    </w:p>
    <w:p>
      <w:pPr>
        <w:pStyle w:val="5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（十四）供应商</w:t>
      </w:r>
      <w:r>
        <w:rPr>
          <w:rFonts w:hint="eastAsia" w:ascii="宋体" w:hAnsi="宋体" w:eastAsia="宋体" w:cs="宋体"/>
          <w:color w:val="auto"/>
          <w:sz w:val="24"/>
          <w:szCs w:val="24"/>
          <w:highlight w:val="none"/>
          <w:vertAlign w:val="baseline"/>
          <w:lang w:val="en-US" w:eastAsia="zh-CN"/>
        </w:rPr>
        <w:t>必须购买财产损失保险和公众责任险，承担在经营场地内或在经营过程中发生的或引起的一切损失、损害责任，承保范围包括但不限于人身伤害、死亡或财产损坏。</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十五</w:t>
      </w:r>
      <w:r>
        <w:rPr>
          <w:rFonts w:hint="eastAsia" w:ascii="宋体" w:hAnsi="宋体" w:eastAsia="宋体" w:cs="宋体"/>
          <w:color w:val="auto"/>
          <w:sz w:val="24"/>
          <w:szCs w:val="24"/>
          <w:highlight w:val="none"/>
          <w:vertAlign w:val="baseline"/>
          <w:lang w:val="en-US" w:eastAsia="zh-CN"/>
        </w:rPr>
        <w:t>）管理配套用房</w:t>
      </w:r>
      <w:r>
        <w:rPr>
          <w:rFonts w:hint="eastAsia" w:cs="宋体"/>
          <w:color w:val="auto"/>
          <w:sz w:val="24"/>
          <w:szCs w:val="24"/>
          <w:highlight w:val="none"/>
          <w:vertAlign w:val="baseline"/>
          <w:lang w:val="en-US" w:eastAsia="zh-CN"/>
        </w:rPr>
        <w:t>由成交供应商自建，</w:t>
      </w:r>
      <w:r>
        <w:rPr>
          <w:rFonts w:hint="eastAsia" w:ascii="宋体" w:hAnsi="宋体" w:eastAsia="宋体" w:cs="宋体"/>
          <w:color w:val="auto"/>
          <w:sz w:val="24"/>
          <w:szCs w:val="24"/>
          <w:highlight w:val="none"/>
          <w:vertAlign w:val="baseline"/>
          <w:lang w:val="en-US" w:eastAsia="zh-CN"/>
        </w:rPr>
        <w:t>原则上不超过200平方米</w:t>
      </w:r>
      <w:r>
        <w:rPr>
          <w:rFonts w:hint="eastAsia" w:cs="宋体"/>
          <w:color w:val="auto"/>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2" w:firstLineChars="200"/>
        <w:jc w:val="left"/>
        <w:textAlignment w:val="auto"/>
        <w:outlineLvl w:val="9"/>
        <w:rPr>
          <w:rFonts w:hint="eastAsia" w:ascii="宋体" w:hAnsi="宋体" w:eastAsia="宋体" w:cs="宋体"/>
          <w:b/>
          <w:bCs/>
          <w:caps w:val="0"/>
          <w:smallCaps w:val="0"/>
          <w:vanish w:val="0"/>
          <w:color w:val="auto"/>
          <w:kern w:val="0"/>
          <w:sz w:val="28"/>
          <w:szCs w:val="28"/>
          <w:highlight w:val="none"/>
          <w:lang w:val="en-US" w:eastAsia="zh-CN"/>
        </w:rPr>
      </w:pPr>
      <w:r>
        <w:rPr>
          <w:rFonts w:hint="eastAsia" w:ascii="宋体" w:hAnsi="宋体" w:eastAsia="宋体" w:cs="宋体"/>
          <w:b/>
          <w:bCs/>
          <w:caps w:val="0"/>
          <w:smallCaps w:val="0"/>
          <w:vanish w:val="0"/>
          <w:color w:val="auto"/>
          <w:kern w:val="0"/>
          <w:sz w:val="24"/>
          <w:szCs w:val="24"/>
          <w:highlight w:val="none"/>
          <w:lang w:val="en-US" w:eastAsia="zh-CN"/>
        </w:rPr>
        <w:t>三、施工与投入要求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1. 施工建设（</w:t>
      </w:r>
      <w:r>
        <w:rPr>
          <w:rFonts w:hint="eastAsia" w:ascii="宋体" w:hAnsi="宋体" w:cs="宋体"/>
          <w:caps w:val="0"/>
          <w:smallCaps w:val="0"/>
          <w:vanish w:val="0"/>
          <w:color w:val="auto"/>
          <w:kern w:val="0"/>
          <w:sz w:val="24"/>
          <w:szCs w:val="24"/>
          <w:highlight w:val="none"/>
          <w:lang w:val="en-US" w:eastAsia="zh-CN"/>
        </w:rPr>
        <w:t>总金额≥490</w:t>
      </w:r>
      <w:r>
        <w:rPr>
          <w:rFonts w:hint="eastAsia" w:ascii="宋体" w:hAnsi="宋体" w:eastAsia="宋体" w:cs="宋体"/>
          <w:caps w:val="0"/>
          <w:smallCaps w:val="0"/>
          <w:vanish w:val="0"/>
          <w:color w:val="auto"/>
          <w:kern w:val="0"/>
          <w:sz w:val="24"/>
          <w:szCs w:val="24"/>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1.1 设计图纸执行标准：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cs="宋体"/>
          <w:caps w:val="0"/>
          <w:smallCaps w:val="0"/>
          <w:vanish w:val="0"/>
          <w:color w:val="auto"/>
          <w:kern w:val="0"/>
          <w:sz w:val="24"/>
          <w:szCs w:val="24"/>
          <w:highlight w:val="none"/>
          <w:lang w:val="en-US" w:eastAsia="zh-CN"/>
        </w:rPr>
        <w:t>1.1.1</w:t>
      </w:r>
      <w:r>
        <w:rPr>
          <w:rFonts w:hint="eastAsia" w:ascii="宋体" w:hAnsi="宋体" w:eastAsia="宋体" w:cs="宋体"/>
          <w:caps w:val="0"/>
          <w:smallCaps w:val="0"/>
          <w:vanish w:val="0"/>
          <w:color w:val="auto"/>
          <w:kern w:val="0"/>
          <w:sz w:val="24"/>
          <w:szCs w:val="24"/>
          <w:highlight w:val="none"/>
          <w:lang w:val="en-US" w:eastAsia="zh-CN"/>
        </w:rPr>
        <w:t>供应商须严格依据比选人提供的《萌宠乐园建设设计图纸》（含电子版CAD文件及纸质版蓝图）组织施工，在不降低原设计标准的前提下可</w:t>
      </w:r>
      <w:r>
        <w:rPr>
          <w:rFonts w:hint="eastAsia" w:ascii="宋体" w:hAnsi="宋体" w:cs="宋体"/>
          <w:caps w:val="0"/>
          <w:smallCaps w:val="0"/>
          <w:vanish w:val="0"/>
          <w:color w:val="auto"/>
          <w:kern w:val="0"/>
          <w:sz w:val="24"/>
          <w:szCs w:val="24"/>
          <w:highlight w:val="none"/>
          <w:lang w:val="en-US" w:eastAsia="zh-CN"/>
        </w:rPr>
        <w:t>征得比选人同意后</w:t>
      </w:r>
      <w:r>
        <w:rPr>
          <w:rFonts w:hint="eastAsia" w:ascii="宋体" w:hAnsi="宋体" w:eastAsia="宋体" w:cs="宋体"/>
          <w:caps w:val="0"/>
          <w:smallCaps w:val="0"/>
          <w:vanish w:val="0"/>
          <w:color w:val="auto"/>
          <w:kern w:val="0"/>
          <w:sz w:val="24"/>
          <w:szCs w:val="24"/>
          <w:highlight w:val="none"/>
          <w:lang w:val="en-US" w:eastAsia="zh-CN"/>
        </w:rPr>
        <w:t>进行优化调整，但最终施工质量及技术参数不得低于图纸载明的设计标准。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left"/>
        <w:textAlignment w:val="auto"/>
        <w:outlineLvl w:val="9"/>
        <w:rPr>
          <w:rFonts w:hint="default" w:ascii="宋体" w:hAnsi="宋体" w:eastAsia="宋体" w:cs="宋体"/>
          <w:caps w:val="0"/>
          <w:smallCaps w:val="0"/>
          <w:vanish w:val="0"/>
          <w:color w:val="auto"/>
          <w:kern w:val="0"/>
          <w:sz w:val="24"/>
          <w:szCs w:val="24"/>
          <w:highlight w:val="none"/>
          <w:lang w:val="en-US" w:eastAsia="zh-CN"/>
        </w:rPr>
      </w:pPr>
      <w:r>
        <w:rPr>
          <w:rFonts w:hint="eastAsia" w:ascii="宋体" w:hAnsi="宋体" w:cs="宋体"/>
          <w:caps w:val="0"/>
          <w:smallCaps w:val="0"/>
          <w:vanish w:val="0"/>
          <w:color w:val="auto"/>
          <w:kern w:val="0"/>
          <w:sz w:val="24"/>
          <w:szCs w:val="24"/>
          <w:highlight w:val="none"/>
          <w:lang w:val="en-US" w:eastAsia="zh-CN"/>
        </w:rPr>
        <w:t>1.2.1本项目的预算设计费为22.69万元，由成交供应商向设计单位支付，支付方式为：成交供应商与比选人签订合同后向设计单位支付预算设计费的60%；最终设计费用按实际审定的金额向设计单位支付剩余设计费。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1.2 施工质量与验收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隐蔽工程验收：地基、管线预埋等关键节点需经比选人、监理单位三方现场确认，留存影像资料。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整体验收：工程完工后，成交供应商需自行组织初验（留存初验报告），初验合格后向比选人提交《竣工验收申请》。比选人联合消防、市场监管、生态环境等部门进行终验，需取得《建设工程消防验收合格意见书》《公共场所卫生许可证》及《环保验收备案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验收不合格项：成交供应商需在15日内完成整改，逾期未整改或整改仍不合格的，比选人有权扣除履约保证金，直至解除合同。</w:t>
      </w:r>
    </w:p>
    <w:p>
      <w:pPr>
        <w:keepNext w:val="0"/>
        <w:keepLines w:val="0"/>
        <w:pageBreakBefore w:val="0"/>
        <w:widowControl w:val="0"/>
        <w:numPr>
          <w:ilvl w:val="-1"/>
          <w:numId w:val="0"/>
        </w:numPr>
        <w:kinsoku/>
        <w:wordWrap/>
        <w:overflowPunct/>
        <w:topLinePunct w:val="0"/>
        <w:autoSpaceDE/>
        <w:autoSpaceDN/>
        <w:bidi w:val="0"/>
        <w:adjustRightInd/>
        <w:snapToGrid/>
        <w:spacing w:before="0" w:after="0" w:line="500" w:lineRule="exact"/>
        <w:ind w:left="0"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2.动物投入（</w:t>
      </w:r>
      <w:r>
        <w:rPr>
          <w:rFonts w:hint="eastAsia" w:ascii="宋体" w:hAnsi="宋体" w:cs="宋体"/>
          <w:caps w:val="0"/>
          <w:smallCaps w:val="0"/>
          <w:vanish w:val="0"/>
          <w:color w:val="auto"/>
          <w:kern w:val="0"/>
          <w:sz w:val="24"/>
          <w:szCs w:val="24"/>
          <w:highlight w:val="none"/>
          <w:lang w:val="en-US" w:eastAsia="zh-CN"/>
        </w:rPr>
        <w:t>总金额≥</w:t>
      </w:r>
      <w:r>
        <w:rPr>
          <w:rFonts w:hint="eastAsia" w:ascii="宋体" w:hAnsi="宋体" w:eastAsia="宋体" w:cs="宋体"/>
          <w:caps w:val="0"/>
          <w:smallCaps w:val="0"/>
          <w:vanish w:val="0"/>
          <w:color w:val="auto"/>
          <w:kern w:val="0"/>
          <w:sz w:val="24"/>
          <w:szCs w:val="24"/>
          <w:highlight w:val="none"/>
          <w:lang w:val="en-US" w:eastAsia="zh-CN"/>
        </w:rPr>
        <w:t>800万元）：</w:t>
      </w:r>
    </w:p>
    <w:p>
      <w:pPr>
        <w:keepNext w:val="0"/>
        <w:keepLines w:val="0"/>
        <w:pageBreakBefore w:val="0"/>
        <w:widowControl w:val="0"/>
        <w:numPr>
          <w:ilvl w:val="-1"/>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2.1动物种类与数量标准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需包含至少3种国家二级保护动物，每种数量≥2只（需符合《国家重点保护野生动物名录》最新规定）。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同时，以下具体动物数量要求：</w:t>
      </w:r>
    </w:p>
    <w:tbl>
      <w:tblPr>
        <w:tblStyle w:val="60"/>
        <w:tblW w:w="6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35"/>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动物品种</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小浣熊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矮马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黑白天鹅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羊驼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小熊猫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梅花鹿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狐獴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斑马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多种孔雀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鹈鹕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多种鸟类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各种鱼类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红腹松鼠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不低于3种灵长类动物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≥20只（总数量）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其他小动物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≥500只</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2.2动物来源与合法性</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default" w:ascii="宋体" w:hAnsi="宋体" w:eastAsia="宋体" w:cs="宋体"/>
          <w:caps w:val="0"/>
          <w:smallCaps w:val="0"/>
          <w:vanish w:val="0"/>
          <w:color w:val="auto"/>
          <w:kern w:val="0"/>
          <w:sz w:val="24"/>
          <w:szCs w:val="24"/>
          <w:highlight w:val="none"/>
          <w:lang w:val="en-US" w:eastAsia="zh-CN"/>
        </w:rPr>
      </w:pPr>
      <w:r>
        <w:rPr>
          <w:rFonts w:hint="eastAsia" w:ascii="宋体" w:hAnsi="宋体" w:cs="宋体"/>
          <w:caps w:val="0"/>
          <w:smallCaps w:val="0"/>
          <w:vanish w:val="0"/>
          <w:color w:val="auto"/>
          <w:kern w:val="0"/>
          <w:sz w:val="24"/>
          <w:szCs w:val="24"/>
          <w:highlight w:val="none"/>
          <w:lang w:val="en-US" w:eastAsia="zh-CN"/>
        </w:rPr>
        <w:t>成交供应商需具备动物检疫资质及养殖许可证。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动物需来自具有《动物防疫条件合格证》等资质的正规养殖企业，成交供应商需提供采购合同（或引种协议），明确动物品种、数量、单价及运输责任（运输需由具备《动物检疫合格证明》的专业机构承担）；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每批次动物入场前需提供《动物检疫合格证明》（有效期≤7天），入场后3日内由属地动物卫生监督机构复检（费用由成交供应商承担）；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b w:val="0"/>
          <w:bCs w:val="0"/>
          <w:caps w:val="0"/>
          <w:smallCaps w:val="0"/>
          <w:vanish w:val="0"/>
          <w:color w:val="auto"/>
          <w:kern w:val="0"/>
          <w:sz w:val="24"/>
          <w:szCs w:val="24"/>
          <w:highlight w:val="none"/>
          <w:lang w:val="en-US" w:eastAsia="zh-CN"/>
        </w:rPr>
        <w:t>涉及国家二级保护动物，成交供应商需持有《野生动物经营利用许可证》（或《人工繁育许可证》），若动物来源涉及跨区域运输，需额外提供《野生动物运输证明》</w:t>
      </w:r>
      <w:r>
        <w:rPr>
          <w:rFonts w:hint="eastAsia" w:ascii="宋体" w:hAnsi="宋体" w:eastAsia="宋体" w:cs="宋体"/>
          <w:caps w:val="0"/>
          <w:smallCaps w:val="0"/>
          <w:vanish w:val="0"/>
          <w:color w:val="auto"/>
          <w:kern w:val="0"/>
          <w:sz w:val="24"/>
          <w:szCs w:val="24"/>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0" w:after="0" w:line="500" w:lineRule="exact"/>
        <w:ind w:left="0"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3.投入证明材料要求：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成交供应商需在</w:t>
      </w:r>
      <w:r>
        <w:rPr>
          <w:rFonts w:hint="eastAsia" w:ascii="宋体" w:hAnsi="宋体" w:cs="宋体"/>
          <w:caps w:val="0"/>
          <w:smallCaps w:val="0"/>
          <w:vanish w:val="0"/>
          <w:color w:val="auto"/>
          <w:kern w:val="0"/>
          <w:sz w:val="24"/>
          <w:szCs w:val="24"/>
          <w:highlight w:val="none"/>
          <w:lang w:val="en-US" w:eastAsia="zh-CN"/>
        </w:rPr>
        <w:t>开园前</w:t>
      </w:r>
      <w:r>
        <w:rPr>
          <w:rFonts w:hint="eastAsia" w:ascii="宋体" w:hAnsi="宋体" w:eastAsia="宋体" w:cs="宋体"/>
          <w:caps w:val="0"/>
          <w:smallCaps w:val="0"/>
          <w:vanish w:val="0"/>
          <w:color w:val="auto"/>
          <w:kern w:val="0"/>
          <w:sz w:val="24"/>
          <w:szCs w:val="24"/>
          <w:highlight w:val="none"/>
          <w:lang w:val="en-US" w:eastAsia="zh-CN"/>
        </w:rPr>
        <w:t>，向比选人提交以下材料原件（复印件留存备案）：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3.1施工建设证明：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设计图纸签收单（由成交供应商法定代表人签字确认）；</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施工单位资质文件（建筑工程施工总承包三级及以上资质证书、安全生产许可证）及合作协议（如有，须明确施工范围、工期、质量责任）；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cs="宋体"/>
          <w:caps w:val="0"/>
          <w:smallCaps w:val="0"/>
          <w:vanish w:val="0"/>
          <w:color w:val="auto"/>
          <w:kern w:val="0"/>
          <w:sz w:val="24"/>
          <w:szCs w:val="24"/>
          <w:highlight w:val="none"/>
          <w:lang w:val="en-US" w:eastAsia="zh-CN"/>
        </w:rPr>
        <w:t>竣工验收报告、竣工决算资料</w:t>
      </w:r>
      <w:r>
        <w:rPr>
          <w:rFonts w:hint="eastAsia" w:ascii="宋体" w:hAnsi="宋体" w:eastAsia="宋体" w:cs="宋体"/>
          <w:caps w:val="0"/>
          <w:smallCaps w:val="0"/>
          <w:vanish w:val="0"/>
          <w:color w:val="auto"/>
          <w:kern w:val="0"/>
          <w:sz w:val="24"/>
          <w:szCs w:val="24"/>
          <w:highlight w:val="none"/>
          <w:lang w:val="en-US" w:eastAsia="zh-CN"/>
        </w:rPr>
        <w:t>及各部门验收合格文件（消防、卫生、环保等）；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施工费用（总金额</w:t>
      </w:r>
      <w:r>
        <w:rPr>
          <w:rFonts w:hint="eastAsia" w:ascii="宋体" w:hAnsi="宋体" w:cs="宋体"/>
          <w:caps w:val="0"/>
          <w:smallCaps w:val="0"/>
          <w:vanish w:val="0"/>
          <w:color w:val="auto"/>
          <w:kern w:val="0"/>
          <w:sz w:val="24"/>
          <w:szCs w:val="24"/>
          <w:highlight w:val="none"/>
          <w:lang w:val="en-US" w:eastAsia="zh-CN"/>
        </w:rPr>
        <w:t>≥490</w:t>
      </w:r>
      <w:r>
        <w:rPr>
          <w:rFonts w:hint="eastAsia" w:ascii="宋体" w:hAnsi="宋体" w:eastAsia="宋体" w:cs="宋体"/>
          <w:caps w:val="0"/>
          <w:smallCaps w:val="0"/>
          <w:vanish w:val="0"/>
          <w:color w:val="auto"/>
          <w:kern w:val="0"/>
          <w:sz w:val="24"/>
          <w:szCs w:val="24"/>
          <w:highlight w:val="none"/>
          <w:lang w:val="en-US" w:eastAsia="zh-CN"/>
        </w:rPr>
        <w:t>万元）</w:t>
      </w:r>
      <w:r>
        <w:rPr>
          <w:rFonts w:hint="eastAsia" w:ascii="宋体" w:hAnsi="宋体" w:cs="宋体"/>
          <w:caps w:val="0"/>
          <w:smallCaps w:val="0"/>
          <w:vanish w:val="0"/>
          <w:color w:val="auto"/>
          <w:kern w:val="0"/>
          <w:sz w:val="24"/>
          <w:szCs w:val="24"/>
          <w:highlight w:val="none"/>
          <w:lang w:val="en-US" w:eastAsia="zh-CN"/>
        </w:rPr>
        <w:t>以比选人邀请的第三方机构审定的结算金额为准</w:t>
      </w:r>
      <w:r>
        <w:rPr>
          <w:rFonts w:hint="eastAsia" w:ascii="宋体" w:hAnsi="宋体" w:eastAsia="宋体" w:cs="宋体"/>
          <w:caps w:val="0"/>
          <w:smallCaps w:val="0"/>
          <w:vanish w:val="0"/>
          <w:color w:val="auto"/>
          <w:kern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3.2 动物投入证明：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动物采购合同（或引种协议）、付款凭证（银行转账记录</w:t>
      </w:r>
      <w:r>
        <w:rPr>
          <w:rFonts w:hint="eastAsia" w:ascii="宋体" w:hAnsi="宋体" w:cs="宋体"/>
          <w:caps w:val="0"/>
          <w:smallCaps w:val="0"/>
          <w:vanish w:val="0"/>
          <w:color w:val="auto"/>
          <w:kern w:val="0"/>
          <w:sz w:val="24"/>
          <w:szCs w:val="24"/>
          <w:highlight w:val="none"/>
          <w:lang w:val="en-US" w:eastAsia="zh-CN"/>
        </w:rPr>
        <w:t>或其他证明动物价值的相关资料</w:t>
      </w:r>
      <w:r>
        <w:rPr>
          <w:rFonts w:hint="eastAsia" w:ascii="宋体" w:hAnsi="宋体" w:eastAsia="宋体" w:cs="宋体"/>
          <w:caps w:val="0"/>
          <w:smallCaps w:val="0"/>
          <w:vanish w:val="0"/>
          <w:color w:val="auto"/>
          <w:kern w:val="0"/>
          <w:sz w:val="24"/>
          <w:szCs w:val="24"/>
          <w:highlight w:val="none"/>
          <w:lang w:val="en-US" w:eastAsia="zh-CN"/>
        </w:rPr>
        <w:t>，总金额≥800万元）；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动物检疫证明（入场前及复检文件）、养殖企业资质（《动物防疫条件合格证》《野生动物驯养繁殖许可证》等）；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专业机构出具的《动物资产评估报告》（若采购合同金额与评估价值差异超过10%，以评估价值为准）；</w:t>
      </w:r>
    </w:p>
    <w:p>
      <w:pPr>
        <w:widowControl w:val="0"/>
        <w:numPr>
          <w:ilvl w:val="0"/>
          <w:numId w:val="0"/>
        </w:numPr>
        <w:spacing w:line="500" w:lineRule="exact"/>
        <w:ind w:firstLine="480" w:firstLineChars="200"/>
        <w:jc w:val="left"/>
        <w:textAlignment w:val="auto"/>
        <w:outlineLvl w:val="9"/>
        <w:rPr>
          <w:rFonts w:hint="eastAsia" w:ascii="宋体" w:hAnsi="宋体" w:eastAsia="宋体" w:cs="宋体"/>
          <w:caps w:val="0"/>
          <w:smallCaps w:val="0"/>
          <w:vanish w:val="0"/>
          <w:color w:val="auto"/>
          <w:kern w:val="0"/>
          <w:sz w:val="24"/>
          <w:szCs w:val="24"/>
          <w:highlight w:val="none"/>
          <w:lang w:val="en-US" w:eastAsia="zh-CN"/>
        </w:rPr>
      </w:pPr>
      <w:r>
        <w:rPr>
          <w:rFonts w:hint="eastAsia" w:ascii="宋体" w:hAnsi="宋体" w:eastAsia="宋体" w:cs="宋体"/>
          <w:caps w:val="0"/>
          <w:smallCaps w:val="0"/>
          <w:vanish w:val="0"/>
          <w:color w:val="auto"/>
          <w:kern w:val="0"/>
          <w:sz w:val="24"/>
          <w:szCs w:val="24"/>
          <w:highlight w:val="none"/>
          <w:lang w:val="en-US" w:eastAsia="zh-CN"/>
        </w:rPr>
        <w:t>执业兽医师劳动合同、《执业兽医师资格证书》及动物健康档案（前3个月记录）</w:t>
      </w:r>
      <w:r>
        <w:rPr>
          <w:rFonts w:hint="eastAsia" w:ascii="宋体" w:hAnsi="宋体" w:cs="宋体"/>
          <w:caps w:val="0"/>
          <w:smallCaps w:val="0"/>
          <w:vanish w:val="0"/>
          <w:color w:val="auto"/>
          <w:kern w:val="0"/>
          <w:sz w:val="24"/>
          <w:szCs w:val="24"/>
          <w:highlight w:val="none"/>
          <w:lang w:val="en-US" w:eastAsia="zh-CN"/>
        </w:rPr>
        <w:t>；</w:t>
      </w:r>
    </w:p>
    <w:p>
      <w:pPr>
        <w:widowControl w:val="0"/>
        <w:numPr>
          <w:ilvl w:val="0"/>
          <w:numId w:val="0"/>
        </w:numPr>
        <w:spacing w:line="500" w:lineRule="exact"/>
        <w:ind w:firstLine="480" w:firstLineChars="200"/>
        <w:jc w:val="left"/>
        <w:textAlignment w:val="auto"/>
        <w:outlineLvl w:val="9"/>
        <w:rPr>
          <w:rFonts w:hint="default" w:ascii="宋体" w:hAnsi="宋体" w:eastAsia="宋体" w:cs="宋体"/>
          <w:caps w:val="0"/>
          <w:smallCaps w:val="0"/>
          <w:vanish w:val="0"/>
          <w:color w:val="auto"/>
          <w:sz w:val="24"/>
          <w:szCs w:val="24"/>
          <w:highlight w:val="none"/>
          <w:lang w:val="en-US" w:eastAsia="zh-CN"/>
        </w:rPr>
      </w:pPr>
      <w:r>
        <w:rPr>
          <w:rFonts w:hint="eastAsia" w:ascii="宋体" w:hAnsi="宋体" w:cs="宋体"/>
          <w:caps w:val="0"/>
          <w:smallCaps w:val="0"/>
          <w:vanish w:val="0"/>
          <w:color w:val="auto"/>
          <w:sz w:val="24"/>
          <w:szCs w:val="24"/>
          <w:highlight w:val="none"/>
          <w:lang w:val="en-US" w:eastAsia="zh-CN"/>
        </w:rPr>
        <w:t>动物</w:t>
      </w:r>
      <w:r>
        <w:rPr>
          <w:rFonts w:hint="default" w:ascii="宋体" w:hAnsi="宋体" w:eastAsia="宋体" w:cs="宋体"/>
          <w:caps w:val="0"/>
          <w:smallCaps w:val="0"/>
          <w:vanish w:val="0"/>
          <w:color w:val="auto"/>
          <w:sz w:val="24"/>
          <w:szCs w:val="24"/>
          <w:highlight w:val="none"/>
          <w:lang w:val="en-US" w:eastAsia="zh-CN"/>
        </w:rPr>
        <w:t>到达现场后，</w:t>
      </w:r>
      <w:r>
        <w:rPr>
          <w:rFonts w:hint="eastAsia" w:ascii="宋体" w:hAnsi="宋体" w:cs="宋体"/>
          <w:caps w:val="0"/>
          <w:smallCaps w:val="0"/>
          <w:vanish w:val="0"/>
          <w:color w:val="auto"/>
          <w:sz w:val="24"/>
          <w:szCs w:val="24"/>
          <w:highlight w:val="none"/>
          <w:lang w:val="en-US" w:eastAsia="zh-CN"/>
        </w:rPr>
        <w:t>成交供应商</w:t>
      </w:r>
      <w:r>
        <w:rPr>
          <w:rFonts w:hint="default" w:ascii="宋体" w:hAnsi="宋体" w:eastAsia="宋体" w:cs="宋体"/>
          <w:caps w:val="0"/>
          <w:smallCaps w:val="0"/>
          <w:vanish w:val="0"/>
          <w:color w:val="auto"/>
          <w:sz w:val="24"/>
          <w:szCs w:val="24"/>
          <w:highlight w:val="none"/>
          <w:lang w:val="en-US" w:eastAsia="zh-CN"/>
        </w:rPr>
        <w:t>应在</w:t>
      </w:r>
      <w:r>
        <w:rPr>
          <w:rFonts w:hint="eastAsia" w:ascii="宋体" w:hAnsi="宋体" w:cs="宋体"/>
          <w:caps w:val="0"/>
          <w:smallCaps w:val="0"/>
          <w:vanish w:val="0"/>
          <w:color w:val="auto"/>
          <w:sz w:val="24"/>
          <w:szCs w:val="24"/>
          <w:highlight w:val="none"/>
          <w:lang w:val="en-US" w:eastAsia="zh-CN"/>
        </w:rPr>
        <w:t>比选人</w:t>
      </w:r>
      <w:r>
        <w:rPr>
          <w:rFonts w:hint="default" w:ascii="宋体" w:hAnsi="宋体" w:eastAsia="宋体" w:cs="宋体"/>
          <w:caps w:val="0"/>
          <w:smallCaps w:val="0"/>
          <w:vanish w:val="0"/>
          <w:color w:val="auto"/>
          <w:sz w:val="24"/>
          <w:szCs w:val="24"/>
          <w:highlight w:val="none"/>
          <w:lang w:val="en-US" w:eastAsia="zh-CN"/>
        </w:rPr>
        <w:t>在场情况下当面开箱，共同清点</w:t>
      </w:r>
      <w:r>
        <w:rPr>
          <w:rFonts w:hint="eastAsia" w:ascii="宋体" w:hAnsi="宋体" w:cs="宋体"/>
          <w:caps w:val="0"/>
          <w:smallCaps w:val="0"/>
          <w:vanish w:val="0"/>
          <w:color w:val="auto"/>
          <w:sz w:val="24"/>
          <w:szCs w:val="24"/>
          <w:highlight w:val="none"/>
          <w:lang w:val="en-US" w:eastAsia="zh-CN"/>
        </w:rPr>
        <w:t>动物数量</w:t>
      </w:r>
      <w:r>
        <w:rPr>
          <w:rFonts w:hint="default" w:ascii="宋体" w:hAnsi="宋体" w:eastAsia="宋体" w:cs="宋体"/>
          <w:caps w:val="0"/>
          <w:smallCaps w:val="0"/>
          <w:vanish w:val="0"/>
          <w:color w:val="auto"/>
          <w:sz w:val="24"/>
          <w:szCs w:val="24"/>
          <w:highlight w:val="none"/>
          <w:lang w:val="en-US" w:eastAsia="zh-CN"/>
        </w:rPr>
        <w:t>，作出开箱记录，双方签字确认。</w:t>
      </w:r>
    </w:p>
    <w:p>
      <w:pPr>
        <w:widowControl w:val="0"/>
        <w:numPr>
          <w:ilvl w:val="0"/>
          <w:numId w:val="0"/>
        </w:numPr>
        <w:spacing w:line="500" w:lineRule="exact"/>
        <w:ind w:firstLine="480" w:firstLineChars="200"/>
        <w:jc w:val="left"/>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aps w:val="0"/>
          <w:smallCaps w:val="0"/>
          <w:vanish w:val="0"/>
          <w:color w:val="auto"/>
          <w:sz w:val="24"/>
          <w:szCs w:val="24"/>
          <w:highlight w:val="none"/>
          <w:lang w:val="en-US" w:eastAsia="zh-CN"/>
        </w:rPr>
        <w:t>注：以上所有证明材料需真实有效，若发现伪造或虚增投入（如施工费用虚报、动物采购合同造假），比选人有权取消合作资格，没收履约保证金，并追究法律责任。</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四、安全文明作业</w:t>
      </w:r>
    </w:p>
    <w:p>
      <w:pPr>
        <w:widowControl w:val="0"/>
        <w:numPr>
          <w:ilvl w:val="0"/>
          <w:numId w:val="0"/>
        </w:numPr>
        <w:spacing w:line="500" w:lineRule="exact"/>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1、现场应干净整洁，各类警示标识设置明显；各种设施、材料、设备器材等物料应定点存放，布置垃圾及废料随产随清。</w:t>
      </w:r>
    </w:p>
    <w:p>
      <w:pPr>
        <w:widowControl w:val="0"/>
        <w:numPr>
          <w:ilvl w:val="0"/>
          <w:numId w:val="0"/>
        </w:numPr>
        <w:spacing w:line="500" w:lineRule="exact"/>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2、不得露天用液化石油气、煤炭、木炭等燃料烧饭、烧水，不得对环境造成污染和火灾隐患等。</w:t>
      </w:r>
    </w:p>
    <w:p>
      <w:pPr>
        <w:widowControl w:val="0"/>
        <w:numPr>
          <w:ilvl w:val="0"/>
          <w:numId w:val="0"/>
        </w:numPr>
        <w:spacing w:line="500" w:lineRule="exact"/>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3、成交供应商必须落实安全生产措施，且应按比选人的要求，为上岗工人配置统一的工作服，自行解决安全作业问题。如发生任何意外，成交供应商负责事故处理及一切费用，均与比选人无关。</w:t>
      </w:r>
    </w:p>
    <w:p>
      <w:pPr>
        <w:widowControl w:val="0"/>
        <w:numPr>
          <w:ilvl w:val="0"/>
          <w:numId w:val="0"/>
        </w:numPr>
        <w:spacing w:line="500" w:lineRule="exact"/>
        <w:ind w:firstLine="480" w:firstLineChars="200"/>
        <w:jc w:val="left"/>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4、成交供应商须服从重庆园博园安全管理服务要求。</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default"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五、服务方案</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供应商需提供</w:t>
      </w:r>
      <w:r>
        <w:rPr>
          <w:rFonts w:hint="eastAsia" w:cs="宋体"/>
          <w:color w:val="auto"/>
          <w:sz w:val="24"/>
          <w:szCs w:val="24"/>
          <w:highlight w:val="none"/>
          <w:vertAlign w:val="baseline"/>
          <w:lang w:val="en-US" w:eastAsia="zh-CN"/>
        </w:rPr>
        <w:t>建设实施</w:t>
      </w:r>
      <w:r>
        <w:rPr>
          <w:rFonts w:hint="eastAsia" w:ascii="宋体" w:hAnsi="宋体" w:eastAsia="宋体" w:cs="宋体"/>
          <w:color w:val="auto"/>
          <w:sz w:val="24"/>
          <w:szCs w:val="24"/>
          <w:highlight w:val="none"/>
          <w:vertAlign w:val="baseline"/>
          <w:lang w:val="en-US" w:eastAsia="zh-CN"/>
        </w:rPr>
        <w:t>方案、经营</w:t>
      </w:r>
      <w:r>
        <w:rPr>
          <w:rFonts w:hint="eastAsia" w:cs="宋体"/>
          <w:color w:val="auto"/>
          <w:sz w:val="24"/>
          <w:szCs w:val="24"/>
          <w:highlight w:val="none"/>
          <w:vertAlign w:val="baseline"/>
          <w:lang w:val="en-US" w:eastAsia="zh-CN"/>
        </w:rPr>
        <w:t>管理及游客体验</w:t>
      </w:r>
      <w:r>
        <w:rPr>
          <w:rFonts w:hint="eastAsia" w:ascii="宋体" w:hAnsi="宋体" w:eastAsia="宋体" w:cs="宋体"/>
          <w:color w:val="auto"/>
          <w:sz w:val="24"/>
          <w:szCs w:val="24"/>
          <w:highlight w:val="none"/>
          <w:vertAlign w:val="baseline"/>
          <w:lang w:val="en-US" w:eastAsia="zh-CN"/>
        </w:rPr>
        <w:t>方案</w:t>
      </w:r>
      <w:r>
        <w:rPr>
          <w:rFonts w:hint="eastAsia"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安全方案</w:t>
      </w:r>
      <w:r>
        <w:rPr>
          <w:rFonts w:hint="eastAsia" w:cs="宋体"/>
          <w:color w:val="auto"/>
          <w:sz w:val="24"/>
          <w:szCs w:val="24"/>
          <w:highlight w:val="none"/>
          <w:vertAlign w:val="baseline"/>
          <w:lang w:val="en-US" w:eastAsia="zh-CN"/>
        </w:rPr>
        <w:t>和应急预案</w:t>
      </w:r>
      <w:r>
        <w:rPr>
          <w:rFonts w:hint="eastAsia" w:ascii="宋体" w:hAnsi="宋体" w:eastAsia="宋体" w:cs="宋体"/>
          <w:color w:val="auto"/>
          <w:sz w:val="24"/>
          <w:szCs w:val="24"/>
          <w:highlight w:val="none"/>
          <w:vertAlign w:val="baseline"/>
          <w:lang w:val="en-US" w:eastAsia="zh-CN"/>
        </w:rPr>
        <w:t>。</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六</w:t>
      </w:r>
      <w:r>
        <w:rPr>
          <w:rFonts w:hint="eastAsia" w:ascii="宋体" w:hAnsi="宋体" w:eastAsia="宋体" w:cs="宋体"/>
          <w:b/>
          <w:bCs/>
          <w:color w:val="auto"/>
          <w:sz w:val="24"/>
          <w:szCs w:val="24"/>
          <w:highlight w:val="none"/>
          <w:vertAlign w:val="baseline"/>
          <w:lang w:val="en-US" w:eastAsia="zh-CN"/>
        </w:rPr>
        <w:t>、现场踏勘</w:t>
      </w:r>
    </w:p>
    <w:p>
      <w:pPr>
        <w:kinsoku/>
        <w:wordWrap/>
        <w:overflowPunct/>
        <w:topLinePunct w:val="0"/>
        <w:autoSpaceDE/>
        <w:autoSpaceDN/>
        <w:bidi w:val="0"/>
        <w:snapToGrid w:val="0"/>
        <w:spacing w:line="312" w:lineRule="auto"/>
        <w:ind w:firstLine="480" w:firstLineChars="200"/>
        <w:jc w:val="left"/>
        <w:textAlignment w:val="auto"/>
        <w:rPr>
          <w:rFonts w:hint="eastAsia" w:asciiTheme="minorEastAsia" w:hAnsiTheme="minorEastAsia" w:eastAsiaTheme="minorEastAsia" w:cstheme="minorEastAsia"/>
          <w:bCs/>
          <w:color w:val="auto"/>
          <w:sz w:val="36"/>
          <w:szCs w:val="30"/>
          <w:highlight w:val="none"/>
        </w:rPr>
      </w:pPr>
      <w:r>
        <w:rPr>
          <w:rFonts w:hint="eastAsia" w:ascii="宋体" w:hAnsi="宋体" w:eastAsia="宋体" w:cs="宋体"/>
          <w:color w:val="auto"/>
          <w:sz w:val="24"/>
          <w:szCs w:val="24"/>
          <w:highlight w:val="none"/>
          <w:vertAlign w:val="baseline"/>
          <w:lang w:val="en-US" w:eastAsia="zh-CN"/>
        </w:rPr>
        <w:t>本项目</w:t>
      </w:r>
      <w:r>
        <w:rPr>
          <w:rFonts w:hint="eastAsia" w:ascii="宋体" w:hAnsi="宋体"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不组织现场踏勘，由供应商自行踏勘项目现场，供应商踏勘现场发生的所有费用自理，自行负责在踏勘现场中所发生的人员伤亡和财产损失。因供应商未踏勘现场而出现的报价成本估算错误，</w:t>
      </w:r>
      <w:r>
        <w:rPr>
          <w:rFonts w:hint="eastAsia" w:ascii="宋体" w:hAnsi="宋体"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不承担一切责任，由供应商自行承担。</w:t>
      </w:r>
      <w:r>
        <w:rPr>
          <w:rFonts w:hint="eastAsia" w:asciiTheme="minorEastAsia" w:hAnsiTheme="minorEastAsia" w:eastAsiaTheme="minorEastAsia" w:cstheme="minorEastAsia"/>
          <w:bCs/>
          <w:color w:val="auto"/>
          <w:sz w:val="36"/>
          <w:szCs w:val="30"/>
          <w:highlight w:val="none"/>
        </w:rPr>
        <w:br w:type="page"/>
      </w:r>
    </w:p>
    <w:p>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104" w:name="_Toc9443"/>
      <w:r>
        <w:rPr>
          <w:rFonts w:hint="eastAsia" w:asciiTheme="minorEastAsia" w:hAnsiTheme="minorEastAsia" w:eastAsiaTheme="minorEastAsia" w:cstheme="minorEastAsia"/>
          <w:bCs/>
          <w:color w:val="auto"/>
          <w:sz w:val="36"/>
          <w:szCs w:val="30"/>
          <w:highlight w:val="none"/>
        </w:rPr>
        <w:t>第三篇  项目商务需求</w:t>
      </w:r>
      <w:bookmarkEnd w:id="102"/>
      <w:bookmarkEnd w:id="103"/>
      <w:bookmarkEnd w:id="104"/>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5" w:name="_Toc344475120"/>
      <w:bookmarkEnd w:id="105"/>
      <w:bookmarkStart w:id="106" w:name="_Toc106030883"/>
      <w:bookmarkEnd w:id="106"/>
      <w:bookmarkStart w:id="107" w:name="_Toc76462328"/>
      <w:bookmarkEnd w:id="107"/>
      <w:bookmarkStart w:id="108" w:name="_Toc28019"/>
      <w:bookmarkEnd w:id="108"/>
      <w:bookmarkStart w:id="109" w:name="_Toc106030887"/>
      <w:bookmarkEnd w:id="109"/>
      <w:bookmarkStart w:id="110" w:name="_Toc9477"/>
      <w:bookmarkEnd w:id="110"/>
      <w:bookmarkStart w:id="111" w:name="_Toc76462332"/>
      <w:bookmarkEnd w:id="111"/>
      <w:bookmarkStart w:id="112" w:name="_Toc3517"/>
      <w:bookmarkStart w:id="113" w:name="_Toc21310"/>
      <w:bookmarkStart w:id="114" w:name="_Toc20332"/>
      <w:bookmarkStart w:id="115" w:name="_Toc11660"/>
      <w:bookmarkStart w:id="116" w:name="_Toc12819"/>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eastAsia="zh-CN"/>
        </w:rPr>
        <w:t>服务</w:t>
      </w:r>
      <w:r>
        <w:rPr>
          <w:rFonts w:hint="eastAsia" w:asciiTheme="minorEastAsia" w:hAnsiTheme="minorEastAsia" w:eastAsiaTheme="minorEastAsia" w:cstheme="minorEastAsia"/>
          <w:color w:val="auto"/>
          <w:sz w:val="24"/>
          <w:highlight w:val="none"/>
        </w:rPr>
        <w:t>期、地点及验收方式</w:t>
      </w:r>
      <w:bookmarkEnd w:id="112"/>
      <w:bookmarkEnd w:id="113"/>
      <w:bookmarkEnd w:id="114"/>
    </w:p>
    <w:p>
      <w:pPr>
        <w:snapToGrid w:val="0"/>
        <w:spacing w:line="400" w:lineRule="exact"/>
        <w:ind w:firstLine="5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vertAlign w:val="baseline"/>
          <w:lang w:val="en-US" w:eastAsia="zh-CN"/>
        </w:rPr>
        <w:t>5年（自</w:t>
      </w:r>
      <w:r>
        <w:rPr>
          <w:rFonts w:hint="eastAsia" w:ascii="宋体" w:hAnsi="宋体" w:cs="宋体"/>
          <w:color w:val="auto"/>
          <w:sz w:val="24"/>
          <w:szCs w:val="24"/>
          <w:highlight w:val="none"/>
          <w:vertAlign w:val="baseline"/>
          <w:lang w:val="en-US" w:eastAsia="zh-CN"/>
        </w:rPr>
        <w:t>开园时间</w:t>
      </w:r>
      <w:r>
        <w:rPr>
          <w:rFonts w:hint="eastAsia" w:ascii="宋体" w:hAnsi="宋体" w:eastAsia="宋体" w:cs="宋体"/>
          <w:color w:val="auto"/>
          <w:sz w:val="24"/>
          <w:szCs w:val="24"/>
          <w:highlight w:val="none"/>
          <w:vertAlign w:val="baseline"/>
          <w:lang w:val="en-US" w:eastAsia="zh-CN"/>
        </w:rPr>
        <w:t>起计算）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建设期</w:t>
      </w:r>
      <w:r>
        <w:rPr>
          <w:rFonts w:hint="eastAsia" w:ascii="宋体" w:hAnsi="宋体" w:eastAsia="宋体" w:cs="宋体"/>
          <w:color w:val="auto"/>
          <w:sz w:val="24"/>
          <w:szCs w:val="24"/>
          <w:highlight w:val="none"/>
          <w:vertAlign w:val="baseline"/>
          <w:lang w:val="en-US" w:eastAsia="zh-CN"/>
        </w:rPr>
        <w:t>不计入合同经营周期，</w:t>
      </w:r>
      <w:r>
        <w:rPr>
          <w:rFonts w:hint="eastAsia" w:ascii="宋体" w:hAnsi="宋体" w:cs="宋体"/>
          <w:color w:val="auto"/>
          <w:sz w:val="24"/>
          <w:szCs w:val="24"/>
          <w:highlight w:val="none"/>
          <w:lang w:val="en-US" w:eastAsia="zh-CN"/>
        </w:rPr>
        <w:t>建设期原则上不超过6个月</w:t>
      </w:r>
      <w:r>
        <w:rPr>
          <w:rFonts w:hint="eastAsia" w:ascii="宋体" w:hAnsi="宋体" w:cs="宋体"/>
          <w:color w:val="auto"/>
          <w:sz w:val="24"/>
          <w:szCs w:val="24"/>
          <w:highlight w:val="none"/>
        </w:rPr>
        <w:t>。</w:t>
      </w:r>
      <w:r>
        <w:rPr>
          <w:rFonts w:hint="eastAsia" w:ascii="宋体" w:hAnsi="宋体" w:cs="宋体"/>
          <w:color w:val="auto"/>
          <w:sz w:val="24"/>
          <w:szCs w:val="24"/>
          <w:highlight w:val="none"/>
          <w:vertAlign w:val="baseline"/>
          <w:lang w:val="en-US" w:eastAsia="zh-CN"/>
        </w:rPr>
        <w:t>合作期限内成交供应商所经营种类及内容（动物）为园博园独家经营</w:t>
      </w:r>
      <w:r>
        <w:rPr>
          <w:rFonts w:hint="eastAsia"/>
          <w:color w:val="auto"/>
          <w:highlight w:val="none"/>
          <w:lang w:eastAsia="zh-CN"/>
        </w:rPr>
        <w:t>。</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eastAsia="宋体" w:cs="宋体"/>
          <w:b w:val="0"/>
          <w:bCs w:val="0"/>
          <w:color w:val="auto"/>
          <w:sz w:val="24"/>
          <w:szCs w:val="24"/>
          <w:highlight w:val="none"/>
          <w:vertAlign w:val="baseline"/>
          <w:lang w:val="en-US" w:eastAsia="zh-CN"/>
        </w:rPr>
        <w:t>重庆园博园现代园林展区里的湿地花谷</w:t>
      </w:r>
      <w:r>
        <w:rPr>
          <w:rFonts w:hint="eastAsia" w:ascii="宋体" w:hAnsi="宋体" w:eastAsia="宋体" w:cs="宋体"/>
          <w:color w:val="auto"/>
          <w:sz w:val="24"/>
          <w:szCs w:val="24"/>
          <w:highlight w:val="none"/>
        </w:rPr>
        <w:t>。</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1.比选人根据比选文件</w:t>
      </w:r>
      <w:r>
        <w:rPr>
          <w:rFonts w:hint="eastAsia" w:ascii="宋体" w:hAnsi="宋体" w:eastAsia="宋体" w:cs="宋体"/>
          <w:color w:val="auto"/>
          <w:sz w:val="24"/>
          <w:szCs w:val="24"/>
          <w:highlight w:val="none"/>
          <w:lang w:val="en-US" w:eastAsia="zh-CN"/>
        </w:rPr>
        <w:t>和国家、地方相关标准、规范</w:t>
      </w:r>
      <w:r>
        <w:rPr>
          <w:rFonts w:hint="eastAsia" w:ascii="宋体" w:hAnsi="宋体" w:eastAsia="宋体" w:cs="宋体"/>
          <w:color w:val="auto"/>
          <w:sz w:val="24"/>
          <w:szCs w:val="24"/>
          <w:highlight w:val="none"/>
        </w:rPr>
        <w:t>要求进行验收</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验收不合格的，必须按标准整改，所需费用由成交供应商自行承担</w:t>
      </w:r>
      <w:r>
        <w:rPr>
          <w:rFonts w:hint="eastAsia" w:ascii="宋体" w:hAnsi="宋体" w:eastAsia="宋体" w:cs="宋体"/>
          <w:color w:val="auto"/>
          <w:sz w:val="24"/>
          <w:szCs w:val="24"/>
          <w:highlight w:val="none"/>
          <w:lang w:eastAsia="zh-CN"/>
        </w:rPr>
        <w:t>。</w:t>
      </w:r>
    </w:p>
    <w:p>
      <w:pPr>
        <w:snapToGrid w:val="0"/>
        <w:spacing w:line="400" w:lineRule="exact"/>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val="en-US" w:eastAsia="zh-CN"/>
        </w:rPr>
        <w:t>设施设备</w:t>
      </w:r>
      <w:r>
        <w:rPr>
          <w:rFonts w:hint="eastAsia" w:ascii="宋体" w:hAnsi="宋体" w:cs="宋体"/>
          <w:color w:val="auto"/>
          <w:sz w:val="24"/>
          <w:szCs w:val="24"/>
          <w:highlight w:val="none"/>
          <w:lang w:val="en-US" w:eastAsia="zh-CN"/>
        </w:rPr>
        <w:t>、动物</w:t>
      </w:r>
      <w:r>
        <w:rPr>
          <w:rFonts w:hint="eastAsia" w:ascii="宋体" w:hAnsi="宋体" w:eastAsia="宋体" w:cs="宋体"/>
          <w:color w:val="auto"/>
          <w:sz w:val="24"/>
          <w:szCs w:val="24"/>
          <w:highlight w:val="none"/>
        </w:rPr>
        <w:t>不合格或延误</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造成的一切损失</w:t>
      </w:r>
      <w:r>
        <w:rPr>
          <w:rFonts w:hint="eastAsia" w:ascii="宋体" w:hAnsi="宋体" w:eastAsia="宋体" w:cs="宋体"/>
          <w:color w:val="auto"/>
          <w:sz w:val="24"/>
          <w:szCs w:val="24"/>
          <w:highlight w:val="none"/>
          <w:lang w:val="en-US" w:eastAsia="zh-CN"/>
        </w:rPr>
        <w:t>由成交供应商自行承担。</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117" w:name="_Toc344475121"/>
      <w:bookmarkStart w:id="118" w:name="_Toc971"/>
      <w:bookmarkStart w:id="119" w:name="_Toc32341"/>
      <w:bookmarkStart w:id="120" w:name="_Toc22939"/>
      <w:bookmarkStart w:id="121" w:name="_Toc24094"/>
      <w:r>
        <w:rPr>
          <w:rFonts w:hint="eastAsia" w:asciiTheme="minorEastAsia" w:hAnsiTheme="minorEastAsia" w:eastAsiaTheme="minorEastAsia" w:cstheme="minorEastAsia"/>
          <w:color w:val="auto"/>
          <w:sz w:val="24"/>
          <w:highlight w:val="none"/>
          <w:lang w:val="en-US" w:eastAsia="zh-CN"/>
        </w:rPr>
        <w:t>二、</w:t>
      </w:r>
      <w:bookmarkEnd w:id="117"/>
      <w:r>
        <w:rPr>
          <w:rFonts w:hint="eastAsia" w:asciiTheme="minorEastAsia" w:hAnsiTheme="minorEastAsia" w:eastAsiaTheme="minorEastAsia" w:cstheme="minorEastAsia"/>
          <w:color w:val="auto"/>
          <w:sz w:val="24"/>
          <w:highlight w:val="none"/>
          <w:lang w:val="en-US" w:eastAsia="zh-CN"/>
        </w:rPr>
        <w:t>报价要求</w:t>
      </w:r>
      <w:bookmarkEnd w:id="118"/>
      <w:bookmarkEnd w:id="119"/>
      <w:bookmarkEnd w:id="120"/>
      <w:bookmarkEnd w:id="121"/>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（一）供应商</w:t>
      </w:r>
      <w:r>
        <w:rPr>
          <w:rFonts w:hint="eastAsia" w:ascii="宋体" w:hAnsi="宋体" w:eastAsia="宋体" w:cs="宋体"/>
          <w:color w:val="auto"/>
          <w:sz w:val="24"/>
          <w:szCs w:val="24"/>
          <w:highlight w:val="none"/>
        </w:rPr>
        <w:t>的报价须包含</w:t>
      </w:r>
      <w:r>
        <w:rPr>
          <w:rFonts w:hint="eastAsia" w:ascii="宋体" w:hAnsi="宋体" w:cs="宋体"/>
          <w:color w:val="auto"/>
          <w:sz w:val="24"/>
          <w:szCs w:val="24"/>
          <w:highlight w:val="none"/>
        </w:rPr>
        <w:t>完成本项目</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费、人工费、</w:t>
      </w:r>
      <w:r>
        <w:rPr>
          <w:rFonts w:hint="eastAsia" w:ascii="宋体" w:hAnsi="宋体" w:cs="宋体"/>
          <w:color w:val="auto"/>
          <w:sz w:val="24"/>
          <w:szCs w:val="24"/>
          <w:highlight w:val="none"/>
          <w:lang w:val="en-US" w:eastAsia="zh-CN"/>
        </w:rPr>
        <w:t>设施设备费、运营维护</w:t>
      </w:r>
      <w:r>
        <w:rPr>
          <w:rFonts w:hint="eastAsia" w:ascii="宋体" w:hAnsi="宋体" w:cs="宋体"/>
          <w:color w:val="auto"/>
          <w:sz w:val="24"/>
          <w:szCs w:val="24"/>
          <w:highlight w:val="none"/>
        </w:rPr>
        <w:t>以及税费等服务期间的所有费用</w:t>
      </w:r>
      <w:r>
        <w:rPr>
          <w:rFonts w:hint="eastAsia" w:ascii="宋体" w:hAnsi="宋体" w:eastAsia="宋体" w:cs="宋体"/>
          <w:color w:val="auto"/>
          <w:sz w:val="24"/>
          <w:szCs w:val="24"/>
          <w:highlight w:val="none"/>
        </w:rPr>
        <w:t>。因成交供应商自身原因造成漏报、少报皆由其自行承担责任，</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不再补偿。</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2" w:name="_Toc17234"/>
      <w:bookmarkStart w:id="123" w:name="_Toc344475122"/>
      <w:bookmarkStart w:id="124" w:name="_Toc9058"/>
      <w:bookmarkStart w:id="125" w:name="_Toc30022"/>
      <w:bookmarkStart w:id="126" w:name="_Toc26864"/>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w:t>
      </w:r>
      <w:bookmarkEnd w:id="122"/>
      <w:bookmarkEnd w:id="123"/>
      <w:bookmarkEnd w:id="124"/>
      <w:bookmarkEnd w:id="125"/>
      <w:bookmarkEnd w:id="126"/>
      <w:r>
        <w:rPr>
          <w:rFonts w:hint="eastAsia" w:ascii="宋体" w:hAnsi="宋体" w:eastAsia="宋体" w:cs="宋体"/>
          <w:b/>
          <w:bCs/>
          <w:color w:val="auto"/>
          <w:sz w:val="24"/>
          <w:szCs w:val="24"/>
          <w:highlight w:val="none"/>
          <w:lang w:val="en-US" w:eastAsia="zh-CN"/>
        </w:rPr>
        <w:t>履约保证金和结算</w:t>
      </w:r>
      <w:r>
        <w:rPr>
          <w:rFonts w:hint="eastAsia" w:ascii="宋体" w:hAnsi="宋体" w:eastAsia="宋体" w:cs="宋体"/>
          <w:b/>
          <w:bCs/>
          <w:color w:val="auto"/>
          <w:sz w:val="24"/>
          <w:szCs w:val="24"/>
          <w:highlight w:val="none"/>
        </w:rPr>
        <w:t>方式</w:t>
      </w:r>
    </w:p>
    <w:p>
      <w:pPr>
        <w:snapToGrid w:val="0"/>
        <w:spacing w:line="400" w:lineRule="exact"/>
        <w:ind w:firstLine="540"/>
        <w:rPr>
          <w:rFonts w:hint="eastAsia" w:ascii="宋体" w:hAnsi="宋体" w:eastAsia="宋体" w:cs="宋体"/>
          <w:color w:val="auto"/>
          <w:sz w:val="24"/>
          <w:szCs w:val="24"/>
          <w:highlight w:val="none"/>
          <w:lang w:val="en-US" w:eastAsia="zh-CN"/>
        </w:rPr>
      </w:pPr>
      <w:bookmarkStart w:id="127" w:name="_Toc89351104"/>
      <w:bookmarkStart w:id="128" w:name="_Toc71903469"/>
      <w:bookmarkStart w:id="129" w:name="_Toc13073"/>
      <w:bookmarkStart w:id="130" w:name="_Toc525316574"/>
      <w:bookmarkStart w:id="131" w:name="_Toc69312327"/>
      <w:bookmarkStart w:id="132" w:name="_Toc27478"/>
      <w:bookmarkStart w:id="133" w:name="_Toc344475123"/>
      <w:bookmarkStart w:id="134" w:name="_Toc20486"/>
      <w:r>
        <w:rPr>
          <w:rFonts w:hint="eastAsia" w:ascii="宋体" w:hAnsi="宋体" w:eastAsia="宋体" w:cs="宋体"/>
          <w:color w:val="auto"/>
          <w:sz w:val="24"/>
          <w:szCs w:val="24"/>
          <w:highlight w:val="none"/>
          <w:lang w:val="en-US" w:eastAsia="zh-CN"/>
        </w:rPr>
        <w:t>（一）合同签订前，成交供应商向比选人缴纳10万元履约保证金（</w:t>
      </w:r>
      <w:r>
        <w:rPr>
          <w:rFonts w:hint="eastAsia" w:ascii="宋体" w:hAnsi="宋体" w:cs="宋体"/>
          <w:color w:val="auto"/>
          <w:sz w:val="24"/>
          <w:szCs w:val="24"/>
          <w:highlight w:val="none"/>
          <w:lang w:val="en-US" w:eastAsia="zh-CN"/>
        </w:rPr>
        <w:t>转账或保函形式，保函须见函即付</w:t>
      </w:r>
      <w:r>
        <w:rPr>
          <w:rFonts w:hint="eastAsia" w:ascii="宋体" w:hAnsi="宋体" w:eastAsia="宋体" w:cs="宋体"/>
          <w:color w:val="auto"/>
          <w:sz w:val="24"/>
          <w:szCs w:val="24"/>
          <w:highlight w:val="none"/>
          <w:lang w:val="en-US" w:eastAsia="zh-CN"/>
        </w:rPr>
        <w:t>）；</w:t>
      </w:r>
    </w:p>
    <w:p>
      <w:pPr>
        <w:snapToGrid w:val="0"/>
        <w:spacing w:line="400" w:lineRule="exact"/>
        <w:ind w:firstLine="5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cs="宋体"/>
          <w:color w:val="auto"/>
          <w:sz w:val="24"/>
          <w:szCs w:val="24"/>
          <w:highlight w:val="none"/>
          <w:lang w:val="en-US" w:eastAsia="zh-CN"/>
        </w:rPr>
        <w:t>比选人每半个月根据成交供应商中标报价结算分成，超额部分年底结算。</w:t>
      </w:r>
    </w:p>
    <w:p>
      <w:pPr>
        <w:snapToGrid w:val="0"/>
        <w:spacing w:line="400" w:lineRule="exact"/>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（三）履约保证金无息退还时间：合同到期后30天内，比选人无息退还履约保证金。</w:t>
      </w:r>
    </w:p>
    <w:bookmarkEnd w:id="127"/>
    <w:bookmarkEnd w:id="128"/>
    <w:bookmarkEnd w:id="129"/>
    <w:bookmarkEnd w:id="130"/>
    <w:bookmarkEnd w:id="131"/>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5" w:name="_Toc21834"/>
      <w:bookmarkStart w:id="136" w:name="_Toc24945"/>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、知识产权</w:t>
      </w:r>
      <w:bookmarkEnd w:id="132"/>
      <w:bookmarkEnd w:id="133"/>
      <w:bookmarkEnd w:id="134"/>
      <w:bookmarkEnd w:id="135"/>
      <w:bookmarkEnd w:id="136"/>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7" w:name="_Toc344475124"/>
      <w:bookmarkStart w:id="138" w:name="_Toc12318"/>
      <w:bookmarkStart w:id="139" w:name="_Toc6820"/>
      <w:bookmarkStart w:id="140" w:name="_Toc31870"/>
      <w:bookmarkStart w:id="141" w:name="_Toc28696"/>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w:t>
      </w:r>
      <w:bookmarkEnd w:id="137"/>
      <w:bookmarkStart w:id="142" w:name="_Toc344475125"/>
      <w:r>
        <w:rPr>
          <w:rFonts w:hint="eastAsia" w:asciiTheme="minorEastAsia" w:hAnsiTheme="minorEastAsia" w:eastAsiaTheme="minorEastAsia" w:cstheme="minorEastAsia"/>
          <w:color w:val="auto"/>
          <w:sz w:val="24"/>
          <w:highlight w:val="none"/>
        </w:rPr>
        <w:t>其他</w:t>
      </w:r>
      <w:bookmarkEnd w:id="138"/>
      <w:bookmarkEnd w:id="139"/>
      <w:bookmarkEnd w:id="140"/>
      <w:bookmarkEnd w:id="141"/>
    </w:p>
    <w:bookmarkEnd w:id="142"/>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）供应商必须在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文件中对以上条款和服务承诺明确列出，承诺内容必须达到本篇及</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文件其他条款的要求。</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）其他未尽事宜由供需双方在采购合同中详细约定。</w:t>
      </w:r>
    </w:p>
    <w:p>
      <w:pPr>
        <w:pStyle w:val="4"/>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143" w:name="_Toc20812"/>
      <w:r>
        <w:rPr>
          <w:rFonts w:hint="eastAsia" w:asciiTheme="minorEastAsia" w:hAnsiTheme="minorEastAsia" w:eastAsiaTheme="minorEastAsia" w:cstheme="minorEastAsia"/>
          <w:bCs/>
          <w:color w:val="auto"/>
          <w:sz w:val="36"/>
          <w:szCs w:val="30"/>
          <w:highlight w:val="none"/>
        </w:rPr>
        <w:t>第四篇  比选程序及方法、评审标准、无效响应和</w:t>
      </w:r>
      <w:r>
        <w:rPr>
          <w:rFonts w:hint="eastAsia" w:asciiTheme="minorEastAsia" w:hAnsiTheme="minorEastAsia" w:eastAsiaTheme="minorEastAsia" w:cstheme="minorEastAsia"/>
          <w:bCs/>
          <w:color w:val="auto"/>
          <w:sz w:val="36"/>
          <w:szCs w:val="36"/>
          <w:highlight w:val="none"/>
        </w:rPr>
        <w:t>采购终止</w:t>
      </w:r>
      <w:bookmarkEnd w:id="115"/>
      <w:bookmarkEnd w:id="116"/>
      <w:bookmarkEnd w:id="143"/>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4" w:name="_Toc106030888"/>
      <w:bookmarkEnd w:id="144"/>
      <w:bookmarkStart w:id="145" w:name="_Toc19981"/>
      <w:bookmarkEnd w:id="145"/>
      <w:bookmarkStart w:id="146" w:name="_Toc76462333"/>
      <w:bookmarkEnd w:id="146"/>
      <w:bookmarkStart w:id="147" w:name="_Toc28291"/>
      <w:bookmarkStart w:id="148" w:name="_Toc31047"/>
      <w:bookmarkStart w:id="149" w:name="_Toc6512"/>
      <w:r>
        <w:rPr>
          <w:rFonts w:hint="eastAsia" w:asciiTheme="minorEastAsia" w:hAnsiTheme="minorEastAsia" w:eastAsiaTheme="minorEastAsia" w:cstheme="minorEastAsia"/>
          <w:color w:val="auto"/>
          <w:sz w:val="24"/>
          <w:highlight w:val="none"/>
        </w:rPr>
        <w:t>一、比选程序及方法</w:t>
      </w:r>
      <w:bookmarkEnd w:id="147"/>
      <w:bookmarkEnd w:id="148"/>
      <w:bookmarkEnd w:id="149"/>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（一）比选按竞争性比选文件规定的时间和地点进行，供应商须有法定代表人或其授权代表参加并签到。</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（二）评审小组对各供应商的资格条件、响应文件的有效性、完整性和响应程度进行审查。各供应商只有在完全符合要求的前提下，才能进行详细技术（服务）、商务、报价评审。</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资格性检查。依据法律法规和竞争性比选文件的规定，对响应文件中的资格证明等进行审查，以确定供应商是否具备比选资格。资格性检查资料表如下：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1.供应商法人营业执照（副本）或事业单位法人证书（副本）或个体工商户营业执照或有效的自然人身份证明或社会团体法人登记证书（提供复印件）。</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vAlign w:val="center"/>
          </w:tcPr>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vAlign w:val="center"/>
          </w:tcPr>
          <w:p>
            <w:pP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vAlign w:val="center"/>
          </w:tcPr>
          <w:p>
            <w:pP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按第一篇“</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、供应商资格条件（三）本项目的特定资格要求”的要求提交（如果有）。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比选</w:t>
            </w:r>
            <w:r>
              <w:rPr>
                <w:rFonts w:hint="eastAsia" w:asciiTheme="minorEastAsia" w:hAnsiTheme="minorEastAsia" w:eastAsiaTheme="minorEastAsia" w:cstheme="minorEastAsia"/>
                <w:color w:val="auto"/>
                <w:sz w:val="21"/>
                <w:szCs w:val="21"/>
                <w:highlight w:val="none"/>
              </w:rPr>
              <w:t>保证金</w:t>
            </w:r>
          </w:p>
        </w:tc>
        <w:tc>
          <w:tcPr>
            <w:tcW w:w="4984" w:type="dxa"/>
            <w:vAlign w:val="center"/>
          </w:tcPr>
          <w:p>
            <w:pP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按照</w:t>
            </w: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rPr>
              <w:t>文件要求足额交纳所投</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rPr>
              <w:t>保证金。</w:t>
            </w:r>
          </w:p>
        </w:tc>
      </w:tr>
    </w:tbl>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eq \o\ac(○,</w:instrText>
      </w:r>
      <w:r>
        <w:rPr>
          <w:rFonts w:hint="eastAsia" w:asciiTheme="minorEastAsia" w:hAnsiTheme="minorEastAsia" w:eastAsiaTheme="minorEastAsia" w:cstheme="minorEastAsia"/>
          <w:color w:val="auto"/>
          <w:kern w:val="0"/>
          <w:position w:val="3"/>
          <w:sz w:val="16"/>
          <w:szCs w:val="24"/>
          <w:highlight w:val="none"/>
        </w:rPr>
        <w:instrText xml:space="preserve">1</w:instrText>
      </w:r>
      <w:r>
        <w:rPr>
          <w:rFonts w:hint="eastAsia" w:asciiTheme="minorEastAsia" w:hAnsiTheme="minorEastAsia" w:eastAsiaTheme="minorEastAsia" w:cstheme="minorEastAsia"/>
          <w:color w:val="auto"/>
          <w:kern w:val="0"/>
          <w:sz w:val="24"/>
          <w:szCs w:val="24"/>
          <w:highlight w:val="none"/>
        </w:rPr>
        <w:instrText xml:space="preserve">)</w:instrTex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的行政处罚。行政处罚中“较大数额”的认定标准，参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符合性审查。依据竞争性比选文件的规定，从响应文件的有效性、完整性和对竞争性比选文件的响应程度进行审查，以确定是否对竞争性比选文件的实质性要求作出响应。符合性审查资料表如下：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按竞争性比选文件“</w:t>
            </w:r>
            <w:r>
              <w:rPr>
                <w:rFonts w:hint="eastAsia" w:asciiTheme="minorEastAsia" w:hAnsiTheme="minorEastAsia" w:eastAsiaTheme="minorEastAsia" w:cstheme="minorEastAsia"/>
                <w:color w:val="auto"/>
                <w:sz w:val="21"/>
                <w:szCs w:val="21"/>
                <w:highlight w:val="none"/>
                <w:lang w:eastAsia="zh-CN"/>
              </w:rPr>
              <w:t>第七篇响应文件编制要求</w:t>
            </w:r>
            <w:r>
              <w:rPr>
                <w:rFonts w:hint="eastAsia" w:asciiTheme="minorEastAsia" w:hAnsiTheme="minorEastAsia" w:eastAsiaTheme="minorEastAsia" w:cstheme="minorEastAsia"/>
                <w:color w:val="auto"/>
                <w:sz w:val="21"/>
                <w:szCs w:val="21"/>
                <w:highlight w:val="none"/>
              </w:rPr>
              <w:t>”要求签署或盖章。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法定代表人身份证明及授权委托书有效，符合竞争性比选文件规定的格式，签署或盖章齐全。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val="zh-CN"/>
              </w:rPr>
              <w:t>份数</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val="zh-CN"/>
              </w:rPr>
              <w:t>正、副本数量</w:t>
            </w:r>
            <w:r>
              <w:rPr>
                <w:rFonts w:hint="eastAsia" w:ascii="宋体" w:hAnsi="宋体" w:cs="宋体"/>
                <w:color w:val="auto"/>
                <w:sz w:val="21"/>
                <w:szCs w:val="21"/>
                <w:highlight w:val="none"/>
                <w:lang w:val="zh-CN"/>
              </w:rPr>
              <w:t>（含电子文档）</w:t>
            </w:r>
            <w:r>
              <w:rPr>
                <w:rFonts w:hint="eastAsia" w:asciiTheme="minorEastAsia" w:hAnsiTheme="minorEastAsia" w:eastAsiaTheme="minorEastAsia" w:cstheme="minorEastAsia"/>
                <w:color w:val="auto"/>
                <w:sz w:val="21"/>
                <w:szCs w:val="21"/>
                <w:highlight w:val="none"/>
                <w:lang w:val="zh-CN"/>
              </w:rPr>
              <w:t>符合</w:t>
            </w:r>
            <w:r>
              <w:rPr>
                <w:rFonts w:hint="eastAsia" w:asciiTheme="minorEastAsia" w:hAnsiTheme="minorEastAsia" w:eastAsiaTheme="minorEastAsia" w:cstheme="minorEastAsia"/>
                <w:color w:val="auto"/>
                <w:sz w:val="21"/>
                <w:szCs w:val="21"/>
                <w:highlight w:val="none"/>
              </w:rPr>
              <w:t>竞争性比选</w:t>
            </w:r>
            <w:r>
              <w:rPr>
                <w:rFonts w:hint="eastAsia" w:asciiTheme="minorEastAsia" w:hAnsiTheme="minorEastAsia" w:eastAsiaTheme="minorEastAsia" w:cstheme="minorEastAsia"/>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pPr>
              <w:pStyle w:val="3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对竞争性比选文件第二篇、第三篇的</w:t>
            </w:r>
            <w:r>
              <w:rPr>
                <w:rFonts w:hint="eastAsia" w:ascii="宋体" w:hAnsi="宋体" w:cs="宋体"/>
                <w:color w:val="auto"/>
                <w:sz w:val="21"/>
                <w:szCs w:val="21"/>
                <w:highlight w:val="none"/>
              </w:rPr>
              <w:t>全部内容作出响应</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比选有效期</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在采购过程中符合要求的供应商不足3家的，</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活动中止并重新开展采购活动。</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（三）澄清有关问题。评审小组在对响应文件的有效性、完整性和响应程度进行审查时，可以要求</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（四）评审小组要求</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澄清、说明或者更正响应文件应当以书面形式作出。</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的澄清、说明或者更正应当由法定代表人或其授权代表签字或者加盖公章。由授权代表签字的，应当附法定代表人授权书。</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为自然人的，应当由本人签字并附身份证明。</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（五）在比选过程中比选的任何一方不得向他人透露与比选有关的服务资料、价格或其他信息。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在比选时作出的所有书面承诺须由法定代表人或其授权代表签字。</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（七）评审小组采用综合评分法对合格的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的响应文件和报价（含有效书面承诺）进行综合评分。综合评分法，是指响应文件满足竞争性比选文件全部实质性要求且按照评审因素的量化指标评审得分最高的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为成交候选人的评审方法。</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总得分为价格、服务、商务等评定因素分别按照相应权重值计算分项得分后相加，满分为100分。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（八）评审小组各成员独立对每个有效响应（通过资格性检查、符合性检查的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）的响应文件进行评审、打分，然后汇总每个</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每项评分因素的得分，并根据综合评分情况按照评审得分由高到低顺序推荐3名成交候选人，并编写评审报告。若</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的评审得分相同的，按照报价由</w:t>
      </w:r>
      <w:r>
        <w:rPr>
          <w:rFonts w:hint="eastAsia" w:asciiTheme="minorEastAsia" w:hAnsiTheme="minorEastAsia" w:eastAsiaTheme="minorEastAsia" w:cstheme="minorEastAsia"/>
          <w:color w:val="auto"/>
          <w:sz w:val="24"/>
          <w:szCs w:val="24"/>
          <w:highlight w:val="none"/>
          <w:lang w:val="en-US" w:eastAsia="zh-CN"/>
        </w:rPr>
        <w:t>高</w:t>
      </w:r>
      <w:r>
        <w:rPr>
          <w:rFonts w:hint="eastAsia" w:asciiTheme="minorEastAsia" w:hAnsiTheme="minorEastAsia" w:eastAsiaTheme="minorEastAsia" w:cstheme="minorEastAsia"/>
          <w:color w:val="auto"/>
          <w:sz w:val="24"/>
          <w:szCs w:val="24"/>
          <w:highlight w:val="none"/>
        </w:rPr>
        <w:t>到</w:t>
      </w:r>
      <w:r>
        <w:rPr>
          <w:rFonts w:hint="eastAsia" w:asciiTheme="minorEastAsia" w:hAnsiTheme="minorEastAsia" w:eastAsiaTheme="minorEastAsia" w:cstheme="minorEastAsia"/>
          <w:color w:val="auto"/>
          <w:sz w:val="24"/>
          <w:szCs w:val="24"/>
          <w:highlight w:val="none"/>
          <w:lang w:val="en-US" w:eastAsia="zh-CN"/>
        </w:rPr>
        <w:t>低</w:t>
      </w:r>
      <w:r>
        <w:rPr>
          <w:rFonts w:hint="eastAsia" w:asciiTheme="minorEastAsia" w:hAnsiTheme="minorEastAsia" w:eastAsiaTheme="minorEastAsia" w:cstheme="minorEastAsia"/>
          <w:color w:val="auto"/>
          <w:sz w:val="24"/>
          <w:szCs w:val="24"/>
          <w:highlight w:val="none"/>
        </w:rPr>
        <w:t>的顺序排列推荐。评审得分且报价相同的，按照服务部分得分由高到低顺序排列推荐。以上都相同的，按商务部分得分由高到低顺序排列推荐。若</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的服务部分为0分，将失去成为成交候选人的资格。</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highlight w:val="none"/>
        </w:rPr>
        <w:t>二、评审标准</w:t>
      </w:r>
    </w:p>
    <w:tbl>
      <w:tblPr>
        <w:tblStyle w:val="60"/>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48"/>
        <w:gridCol w:w="912"/>
        <w:gridCol w:w="5245"/>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83" w:type="dxa"/>
            <w:vAlign w:val="center"/>
          </w:tcPr>
          <w:p>
            <w:pPr>
              <w:snapToGrid w:val="0"/>
              <w:spacing w:line="360" w:lineRule="auto"/>
              <w:jc w:val="center"/>
              <w:rPr>
                <w:rFonts w:hint="eastAsia" w:ascii="宋体" w:hAnsi="宋体" w:cs="宋体"/>
                <w:b/>
                <w:bCs/>
                <w:color w:val="auto"/>
                <w:sz w:val="21"/>
                <w:szCs w:val="21"/>
                <w:highlight w:val="none"/>
              </w:rPr>
            </w:pPr>
            <w:bookmarkStart w:id="150" w:name="_Toc15678"/>
            <w:bookmarkStart w:id="151" w:name="_Toc28217"/>
            <w:bookmarkStart w:id="152" w:name="_Toc12733"/>
            <w:bookmarkStart w:id="153" w:name="_Toc27370"/>
            <w:r>
              <w:rPr>
                <w:rFonts w:hint="eastAsia" w:ascii="宋体" w:hAnsi="宋体" w:cs="宋体"/>
                <w:b/>
                <w:bCs/>
                <w:color w:val="auto"/>
                <w:sz w:val="21"/>
                <w:szCs w:val="21"/>
                <w:highlight w:val="none"/>
              </w:rPr>
              <w:t>序号</w:t>
            </w:r>
          </w:p>
        </w:tc>
        <w:tc>
          <w:tcPr>
            <w:tcW w:w="1248" w:type="dxa"/>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评分因素及权重</w:t>
            </w:r>
          </w:p>
        </w:tc>
        <w:tc>
          <w:tcPr>
            <w:tcW w:w="912" w:type="dxa"/>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5245" w:type="dxa"/>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评分标准</w:t>
            </w:r>
          </w:p>
        </w:tc>
        <w:tc>
          <w:tcPr>
            <w:tcW w:w="1871" w:type="dxa"/>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83" w:type="dxa"/>
            <w:vMerge w:val="restart"/>
            <w:vAlign w:val="center"/>
          </w:tcPr>
          <w:p>
            <w:pPr>
              <w:spacing w:line="360" w:lineRule="auto"/>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48" w:type="dxa"/>
            <w:vMerge w:val="restart"/>
            <w:vAlign w:val="center"/>
          </w:tcPr>
          <w:p>
            <w:pPr>
              <w:spacing w:line="240" w:lineRule="atLeas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比选报价（60%）</w:t>
            </w:r>
          </w:p>
        </w:tc>
        <w:tc>
          <w:tcPr>
            <w:tcW w:w="912" w:type="dxa"/>
            <w:vAlign w:val="center"/>
          </w:tcPr>
          <w:p>
            <w:pPr>
              <w:numPr>
                <w:ilvl w:val="0"/>
                <w:numId w:val="0"/>
              </w:numPr>
              <w:jc w:val="center"/>
              <w:rPr>
                <w:rFonts w:hint="default" w:ascii="宋体" w:hAnsi="宋体" w:eastAsia="宋体" w:cs="宋体"/>
                <w:color w:val="auto"/>
                <w:sz w:val="21"/>
                <w:szCs w:val="21"/>
                <w:highlight w:val="none"/>
                <w:lang w:val="en-US"/>
              </w:rPr>
            </w:pPr>
            <w:r>
              <w:rPr>
                <w:rFonts w:hint="eastAsia" w:cs="宋体" w:asciiTheme="minorEastAsia" w:hAnsiTheme="minorEastAsia" w:eastAsiaTheme="minorEastAsia"/>
                <w:color w:val="auto"/>
                <w:sz w:val="21"/>
                <w:szCs w:val="21"/>
                <w:highlight w:val="none"/>
                <w:lang w:val="en-US" w:eastAsia="zh-CN"/>
              </w:rPr>
              <w:t>保底营业额（</w:t>
            </w:r>
            <w:r>
              <w:rPr>
                <w:rFonts w:hint="eastAsia" w:ascii="宋体" w:hAnsi="宋体" w:cs="宋体"/>
                <w:color w:val="auto"/>
                <w:sz w:val="21"/>
                <w:szCs w:val="21"/>
                <w:highlight w:val="none"/>
                <w:lang w:val="en-US" w:eastAsia="zh-CN"/>
              </w:rPr>
              <w:t>20分</w:t>
            </w:r>
            <w:r>
              <w:rPr>
                <w:rFonts w:hint="eastAsia" w:cs="宋体" w:asciiTheme="minorEastAsia" w:hAnsiTheme="minorEastAsia" w:eastAsiaTheme="minorEastAsia"/>
                <w:color w:val="auto"/>
                <w:sz w:val="21"/>
                <w:szCs w:val="21"/>
                <w:highlight w:val="none"/>
                <w:lang w:val="en-US" w:eastAsia="zh-CN"/>
              </w:rPr>
              <w:t>）</w:t>
            </w:r>
          </w:p>
        </w:tc>
        <w:tc>
          <w:tcPr>
            <w:tcW w:w="5245" w:type="dxa"/>
            <w:vAlign w:val="center"/>
          </w:tcPr>
          <w:p>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1、评标基准价计算方法：满足</w:t>
            </w:r>
            <w:r>
              <w:rPr>
                <w:rFonts w:hint="eastAsia" w:ascii="宋体" w:hAnsi="宋体" w:cs="宋体"/>
                <w:color w:val="auto"/>
                <w:sz w:val="21"/>
                <w:szCs w:val="21"/>
                <w:highlight w:val="none"/>
                <w:lang w:val="en-US" w:eastAsia="zh-CN"/>
              </w:rPr>
              <w:t>比选文件</w:t>
            </w:r>
            <w:r>
              <w:rPr>
                <w:rFonts w:hint="eastAsia" w:ascii="宋体" w:hAnsi="宋体" w:eastAsia="宋体" w:cs="宋体"/>
                <w:color w:val="auto"/>
                <w:sz w:val="21"/>
                <w:szCs w:val="21"/>
                <w:highlight w:val="none"/>
                <w:lang w:val="en-US" w:eastAsia="zh-CN"/>
              </w:rPr>
              <w:t>要求且以有效</w:t>
            </w:r>
            <w:r>
              <w:rPr>
                <w:rFonts w:hint="eastAsia" w:ascii="宋体" w:hAnsi="宋体" w:cs="宋体"/>
                <w:color w:val="auto"/>
                <w:sz w:val="21"/>
                <w:szCs w:val="21"/>
                <w:highlight w:val="none"/>
                <w:lang w:val="en-US" w:eastAsia="zh-CN"/>
              </w:rPr>
              <w:t>响应文件比选报价</w:t>
            </w:r>
            <w:r>
              <w:rPr>
                <w:rFonts w:hint="eastAsia" w:ascii="宋体" w:hAnsi="宋体" w:eastAsia="宋体" w:cs="宋体"/>
                <w:color w:val="auto"/>
                <w:sz w:val="21"/>
                <w:szCs w:val="21"/>
                <w:highlight w:val="none"/>
                <w:lang w:val="en-US" w:eastAsia="zh-CN"/>
              </w:rPr>
              <w:t>的平均报价为评标基准价。</w:t>
            </w:r>
          </w:p>
          <w:p>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（注：有效</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限价为保底营业额≥80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 w:val="21"/>
                <w:szCs w:val="21"/>
                <w:highlight w:val="none"/>
                <w:lang w:val="en-US" w:eastAsia="zh-CN"/>
              </w:rPr>
              <w:t>/年</w:t>
            </w:r>
            <w:r>
              <w:rPr>
                <w:rFonts w:hint="eastAsia" w:ascii="宋体" w:hAnsi="宋体" w:eastAsia="宋体" w:cs="宋体"/>
                <w:color w:val="auto"/>
                <w:sz w:val="21"/>
                <w:szCs w:val="21"/>
                <w:highlight w:val="none"/>
                <w:lang w:val="en-US" w:eastAsia="zh-CN"/>
              </w:rPr>
              <w:t>）</w:t>
            </w:r>
          </w:p>
          <w:p>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当有效</w:t>
            </w:r>
            <w:r>
              <w:rPr>
                <w:rFonts w:hint="eastAsia" w:ascii="宋体" w:hAnsi="宋体" w:cs="宋体"/>
                <w:color w:val="auto"/>
                <w:sz w:val="21"/>
                <w:szCs w:val="21"/>
                <w:highlight w:val="none"/>
                <w:lang w:val="en-US" w:eastAsia="zh-CN"/>
              </w:rPr>
              <w:t>比选报价</w:t>
            </w:r>
            <w:r>
              <w:rPr>
                <w:rFonts w:hint="eastAsia" w:ascii="宋体" w:hAnsi="宋体" w:eastAsia="宋体" w:cs="宋体"/>
                <w:color w:val="auto"/>
                <w:sz w:val="21"/>
                <w:szCs w:val="21"/>
                <w:highlight w:val="none"/>
                <w:lang w:val="en-US" w:eastAsia="zh-CN"/>
              </w:rPr>
              <w:t>≤5家时，取所有有效</w:t>
            </w:r>
            <w:r>
              <w:rPr>
                <w:rFonts w:hint="eastAsia" w:ascii="宋体" w:hAnsi="宋体" w:cs="宋体"/>
                <w:color w:val="auto"/>
                <w:sz w:val="21"/>
                <w:szCs w:val="21"/>
                <w:highlight w:val="none"/>
                <w:lang w:val="en-US" w:eastAsia="zh-CN"/>
              </w:rPr>
              <w:t>比选报价</w:t>
            </w:r>
            <w:r>
              <w:rPr>
                <w:rFonts w:hint="eastAsia" w:ascii="宋体" w:hAnsi="宋体" w:eastAsia="宋体" w:cs="宋体"/>
                <w:color w:val="auto"/>
                <w:sz w:val="21"/>
                <w:szCs w:val="21"/>
                <w:highlight w:val="none"/>
                <w:lang w:val="en-US" w:eastAsia="zh-CN"/>
              </w:rPr>
              <w:t>的平均值为评标基准价；当有效</w:t>
            </w:r>
            <w:r>
              <w:rPr>
                <w:rFonts w:hint="eastAsia" w:ascii="宋体" w:hAnsi="宋体" w:cs="宋体"/>
                <w:color w:val="auto"/>
                <w:sz w:val="21"/>
                <w:szCs w:val="21"/>
                <w:highlight w:val="none"/>
                <w:lang w:val="en-US" w:eastAsia="zh-CN"/>
              </w:rPr>
              <w:t>比选报价</w:t>
            </w:r>
            <w:r>
              <w:rPr>
                <w:rFonts w:hint="eastAsia" w:ascii="宋体" w:hAnsi="宋体" w:eastAsia="宋体" w:cs="宋体"/>
                <w:color w:val="auto"/>
                <w:sz w:val="21"/>
                <w:szCs w:val="21"/>
                <w:highlight w:val="none"/>
                <w:lang w:val="en-US" w:eastAsia="zh-CN"/>
              </w:rPr>
              <w:t>＞5家时，去掉最高和最低有效</w:t>
            </w:r>
            <w:r>
              <w:rPr>
                <w:rFonts w:hint="eastAsia" w:ascii="宋体" w:hAnsi="宋体" w:cs="宋体"/>
                <w:color w:val="auto"/>
                <w:sz w:val="21"/>
                <w:szCs w:val="21"/>
                <w:highlight w:val="none"/>
                <w:lang w:val="en-US" w:eastAsia="zh-CN"/>
              </w:rPr>
              <w:t>比选报价</w:t>
            </w:r>
            <w:r>
              <w:rPr>
                <w:rFonts w:hint="eastAsia" w:ascii="宋体" w:hAnsi="宋体" w:eastAsia="宋体" w:cs="宋体"/>
                <w:color w:val="auto"/>
                <w:sz w:val="21"/>
                <w:szCs w:val="21"/>
                <w:highlight w:val="none"/>
                <w:lang w:val="en-US" w:eastAsia="zh-CN"/>
              </w:rPr>
              <w:t>，取剩余有效</w:t>
            </w:r>
            <w:r>
              <w:rPr>
                <w:rFonts w:hint="eastAsia" w:ascii="宋体" w:hAnsi="宋体" w:cs="宋体"/>
                <w:color w:val="auto"/>
                <w:sz w:val="21"/>
                <w:szCs w:val="21"/>
                <w:highlight w:val="none"/>
                <w:lang w:val="en-US" w:eastAsia="zh-CN"/>
              </w:rPr>
              <w:t>比选报价</w:t>
            </w:r>
            <w:r>
              <w:rPr>
                <w:rFonts w:hint="eastAsia" w:ascii="宋体" w:hAnsi="宋体" w:eastAsia="宋体" w:cs="宋体"/>
                <w:color w:val="auto"/>
                <w:sz w:val="21"/>
                <w:szCs w:val="21"/>
                <w:highlight w:val="none"/>
                <w:lang w:val="en-US" w:eastAsia="zh-CN"/>
              </w:rPr>
              <w:t>的平均值为评标基准价。</w:t>
            </w:r>
          </w:p>
          <w:p>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2.得分计算：</w:t>
            </w:r>
          </w:p>
          <w:p>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（1）当有效</w:t>
            </w:r>
            <w:r>
              <w:rPr>
                <w:rFonts w:hint="eastAsia" w:ascii="宋体" w:hAnsi="宋体" w:cs="宋体"/>
                <w:color w:val="auto"/>
                <w:sz w:val="21"/>
                <w:szCs w:val="21"/>
                <w:highlight w:val="none"/>
                <w:lang w:val="en-US" w:eastAsia="zh-CN"/>
              </w:rPr>
              <w:t>比选报价</w:t>
            </w:r>
            <w:r>
              <w:rPr>
                <w:rFonts w:hint="eastAsia" w:ascii="宋体" w:hAnsi="宋体" w:eastAsia="宋体" w:cs="宋体"/>
                <w:color w:val="auto"/>
                <w:sz w:val="21"/>
                <w:szCs w:val="21"/>
                <w:highlight w:val="none"/>
                <w:lang w:val="en-US" w:eastAsia="zh-CN"/>
              </w:rPr>
              <w:t>高于评标基准价，每高于基准价的</w:t>
            </w:r>
            <w:r>
              <w:rPr>
                <w:rFonts w:hint="eastAsia" w:ascii="宋体" w:hAnsi="宋体" w:cs="宋体"/>
                <w:color w:val="auto"/>
                <w:sz w:val="21"/>
                <w:szCs w:val="21"/>
                <w:highlight w:val="none"/>
                <w:lang w:val="en-US" w:eastAsia="zh-CN"/>
              </w:rPr>
              <w:t>100000</w:t>
            </w:r>
            <w:r>
              <w:rPr>
                <w:rFonts w:hint="eastAsia" w:ascii="宋体" w:hAnsi="宋体" w:eastAsia="宋体" w:cs="宋体"/>
                <w:color w:val="auto"/>
                <w:sz w:val="21"/>
                <w:szCs w:val="21"/>
                <w:highlight w:val="none"/>
                <w:lang w:val="en-US" w:eastAsia="zh-CN"/>
              </w:rPr>
              <w:t>元/年，扣1分，报价得分按照下列</w:t>
            </w:r>
            <w:r>
              <w:rPr>
                <w:rFonts w:hint="eastAsia" w:ascii="宋体"/>
                <w:color w:val="auto"/>
                <w:sz w:val="21"/>
                <w:szCs w:val="21"/>
                <w:highlight w:val="none"/>
                <w:lang w:val="en-US" w:eastAsia="zh-CN"/>
              </w:rPr>
              <w:t>公式</w:t>
            </w:r>
            <w:r>
              <w:rPr>
                <w:rFonts w:hint="eastAsia" w:ascii="宋体" w:hAnsi="宋体" w:eastAsia="宋体" w:cs="宋体"/>
                <w:color w:val="auto"/>
                <w:sz w:val="21"/>
                <w:szCs w:val="21"/>
                <w:highlight w:val="none"/>
                <w:lang w:val="en-US" w:eastAsia="zh-CN"/>
              </w:rPr>
              <w:t>计算：报价得分=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比选报价</w:t>
            </w:r>
            <w:r>
              <w:rPr>
                <w:rFonts w:hint="eastAsia" w:ascii="宋体" w:hAnsi="宋体" w:eastAsia="宋体" w:cs="宋体"/>
                <w:color w:val="auto"/>
                <w:sz w:val="21"/>
                <w:szCs w:val="21"/>
                <w:highlight w:val="none"/>
                <w:lang w:val="en-US" w:eastAsia="zh-CN"/>
              </w:rPr>
              <w:t>-评标基准价）/</w:t>
            </w:r>
            <w:r>
              <w:rPr>
                <w:rFonts w:hint="eastAsia" w:ascii="宋体" w:hAnsi="宋体" w:cs="宋体"/>
                <w:color w:val="auto"/>
                <w:sz w:val="21"/>
                <w:szCs w:val="21"/>
                <w:highlight w:val="none"/>
                <w:lang w:val="en-US" w:eastAsia="zh-CN"/>
              </w:rPr>
              <w:t>100000</w:t>
            </w:r>
            <w:r>
              <w:rPr>
                <w:rFonts w:hint="eastAsia" w:ascii="宋体" w:hAnsi="宋体" w:eastAsia="宋体" w:cs="宋体"/>
                <w:color w:val="auto"/>
                <w:sz w:val="21"/>
                <w:szCs w:val="21"/>
                <w:highlight w:val="none"/>
                <w:lang w:val="en-US" w:eastAsia="zh-CN"/>
              </w:rPr>
              <w:t>】*1。</w:t>
            </w:r>
          </w:p>
          <w:p>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（2）当有效</w:t>
            </w:r>
            <w:r>
              <w:rPr>
                <w:rFonts w:hint="eastAsia" w:ascii="宋体" w:hAnsi="宋体" w:cs="宋体"/>
                <w:color w:val="auto"/>
                <w:sz w:val="21"/>
                <w:szCs w:val="21"/>
                <w:highlight w:val="none"/>
                <w:lang w:val="en-US" w:eastAsia="zh-CN"/>
              </w:rPr>
              <w:t>比选报价</w:t>
            </w:r>
            <w:r>
              <w:rPr>
                <w:rFonts w:hint="eastAsia" w:ascii="宋体" w:hAnsi="宋体" w:eastAsia="宋体" w:cs="宋体"/>
                <w:color w:val="auto"/>
                <w:sz w:val="21"/>
                <w:szCs w:val="21"/>
                <w:highlight w:val="none"/>
                <w:lang w:val="en-US" w:eastAsia="zh-CN"/>
              </w:rPr>
              <w:t>低于评标基准价，每低于基准价的</w:t>
            </w:r>
            <w:r>
              <w:rPr>
                <w:rFonts w:hint="eastAsia" w:ascii="宋体" w:hAnsi="宋体" w:cs="宋体"/>
                <w:color w:val="auto"/>
                <w:sz w:val="21"/>
                <w:szCs w:val="21"/>
                <w:highlight w:val="none"/>
                <w:lang w:val="en-US" w:eastAsia="zh-CN"/>
              </w:rPr>
              <w:t>100000</w:t>
            </w:r>
            <w:r>
              <w:rPr>
                <w:rFonts w:hint="eastAsia" w:ascii="宋体" w:hAnsi="宋体" w:eastAsia="宋体" w:cs="宋体"/>
                <w:color w:val="auto"/>
                <w:sz w:val="21"/>
                <w:szCs w:val="21"/>
                <w:highlight w:val="none"/>
                <w:lang w:val="en-US" w:eastAsia="zh-CN"/>
              </w:rPr>
              <w:t>元/年，扣2分，报价得分按照下列</w:t>
            </w:r>
            <w:r>
              <w:rPr>
                <w:rFonts w:hint="eastAsia" w:ascii="宋体"/>
                <w:color w:val="auto"/>
                <w:sz w:val="21"/>
                <w:szCs w:val="21"/>
                <w:highlight w:val="none"/>
                <w:lang w:val="en-US" w:eastAsia="zh-CN"/>
              </w:rPr>
              <w:t>公式</w:t>
            </w:r>
            <w:r>
              <w:rPr>
                <w:rFonts w:hint="eastAsia" w:ascii="宋体" w:hAnsi="宋体" w:eastAsia="宋体" w:cs="宋体"/>
                <w:color w:val="auto"/>
                <w:sz w:val="21"/>
                <w:szCs w:val="21"/>
                <w:highlight w:val="none"/>
                <w:lang w:val="en-US" w:eastAsia="zh-CN"/>
              </w:rPr>
              <w:t>计算：报价得分=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0-【（评标基准价-</w:t>
            </w:r>
            <w:r>
              <w:rPr>
                <w:rFonts w:hint="eastAsia" w:ascii="宋体" w:hAnsi="宋体" w:cs="宋体"/>
                <w:color w:val="auto"/>
                <w:sz w:val="21"/>
                <w:szCs w:val="21"/>
                <w:highlight w:val="none"/>
                <w:lang w:val="en-US" w:eastAsia="zh-CN"/>
              </w:rPr>
              <w:t>比选报价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100000</w:t>
            </w:r>
            <w:r>
              <w:rPr>
                <w:rFonts w:hint="eastAsia" w:ascii="宋体" w:hAnsi="宋体" w:eastAsia="宋体" w:cs="宋体"/>
                <w:color w:val="auto"/>
                <w:sz w:val="21"/>
                <w:szCs w:val="21"/>
                <w:highlight w:val="none"/>
                <w:lang w:val="en-US" w:eastAsia="zh-CN"/>
              </w:rPr>
              <w:t>】*2。</w:t>
            </w:r>
          </w:p>
          <w:p>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3、本项得分最低为0，不计负分，计算式报价得分四舍五入取小数点后两位。</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4、年保底营业额报价不足</w:t>
            </w:r>
            <w:r>
              <w:rPr>
                <w:rFonts w:hint="eastAsia" w:ascii="宋体" w:hAnsi="宋体" w:cs="宋体"/>
                <w:color w:val="auto"/>
                <w:sz w:val="21"/>
                <w:szCs w:val="21"/>
                <w:highlight w:val="none"/>
                <w:lang w:val="en-US" w:eastAsia="zh-CN"/>
              </w:rPr>
              <w:t>100000</w:t>
            </w:r>
            <w:r>
              <w:rPr>
                <w:rFonts w:hint="eastAsia" w:ascii="宋体" w:hAnsi="宋体" w:eastAsia="宋体" w:cs="宋体"/>
                <w:color w:val="auto"/>
                <w:sz w:val="21"/>
                <w:szCs w:val="21"/>
                <w:highlight w:val="none"/>
                <w:lang w:val="en-US" w:eastAsia="zh-CN"/>
              </w:rPr>
              <w:t>元的部分按</w:t>
            </w:r>
            <w:r>
              <w:rPr>
                <w:rFonts w:hint="eastAsia" w:ascii="宋体" w:hAnsi="宋体" w:cs="宋体"/>
                <w:color w:val="auto"/>
                <w:sz w:val="21"/>
                <w:szCs w:val="21"/>
                <w:highlight w:val="none"/>
                <w:lang w:val="en-US" w:eastAsia="zh-CN"/>
              </w:rPr>
              <w:t>100000</w:t>
            </w:r>
            <w:r>
              <w:rPr>
                <w:rFonts w:hint="eastAsia" w:ascii="宋体" w:hAnsi="宋体" w:eastAsia="宋体" w:cs="宋体"/>
                <w:color w:val="auto"/>
                <w:sz w:val="21"/>
                <w:szCs w:val="21"/>
                <w:highlight w:val="none"/>
                <w:lang w:val="en-US" w:eastAsia="zh-CN"/>
              </w:rPr>
              <w:t>元计算分数。</w:t>
            </w:r>
          </w:p>
        </w:tc>
        <w:tc>
          <w:tcPr>
            <w:tcW w:w="1871" w:type="dxa"/>
            <w:vAlign w:val="center"/>
          </w:tcPr>
          <w:p>
            <w:pPr>
              <w:spacing w:line="240" w:lineRule="atLeas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供应商报价保底营业额不低于80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 w:val="21"/>
                <w:szCs w:val="21"/>
                <w:highlight w:val="none"/>
                <w:lang w:val="en-US" w:eastAsia="zh-CN"/>
              </w:rPr>
              <w:t>/年，否则视为无效响应</w:t>
            </w:r>
          </w:p>
          <w:p>
            <w:pPr>
              <w:spacing w:line="360" w:lineRule="auto"/>
              <w:rPr>
                <w:rFonts w:hint="default" w:ascii="宋体" w:hAnsi="宋体" w:cs="宋体"/>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83" w:type="dxa"/>
            <w:vMerge w:val="continue"/>
            <w:vAlign w:val="center"/>
          </w:tcPr>
          <w:p>
            <w:pPr>
              <w:spacing w:line="360" w:lineRule="auto"/>
              <w:ind w:firstLine="28"/>
              <w:jc w:val="center"/>
              <w:rPr>
                <w:rFonts w:hint="eastAsia" w:ascii="宋体" w:hAnsi="宋体" w:cs="宋体"/>
                <w:color w:val="auto"/>
                <w:sz w:val="21"/>
                <w:szCs w:val="21"/>
                <w:highlight w:val="none"/>
              </w:rPr>
            </w:pPr>
          </w:p>
        </w:tc>
        <w:tc>
          <w:tcPr>
            <w:tcW w:w="1248" w:type="dxa"/>
            <w:vMerge w:val="continue"/>
            <w:vAlign w:val="center"/>
          </w:tcPr>
          <w:p>
            <w:pPr>
              <w:spacing w:line="240" w:lineRule="atLeast"/>
              <w:rPr>
                <w:rFonts w:hint="eastAsia" w:ascii="宋体" w:hAnsi="宋体" w:eastAsia="宋体" w:cs="宋体"/>
                <w:color w:val="auto"/>
                <w:sz w:val="21"/>
                <w:szCs w:val="21"/>
                <w:highlight w:val="none"/>
                <w:lang w:val="en-US" w:eastAsia="zh-CN"/>
              </w:rPr>
            </w:pPr>
          </w:p>
        </w:tc>
        <w:tc>
          <w:tcPr>
            <w:tcW w:w="912" w:type="dxa"/>
            <w:vAlign w:val="center"/>
          </w:tcPr>
          <w:p>
            <w:pPr>
              <w:numPr>
                <w:ilvl w:val="0"/>
                <w:numId w:val="0"/>
              </w:num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比选人营业额分成（40分）</w:t>
            </w:r>
          </w:p>
        </w:tc>
        <w:tc>
          <w:tcPr>
            <w:tcW w:w="5245" w:type="dxa"/>
            <w:vAlign w:val="center"/>
          </w:tcPr>
          <w:p>
            <w:pPr>
              <w:spacing w:line="240" w:lineRule="atLeast"/>
              <w:rPr>
                <w:rFonts w:hint="eastAsia" w:ascii="宋体"/>
                <w:color w:val="auto"/>
                <w:sz w:val="21"/>
                <w:szCs w:val="21"/>
                <w:highlight w:val="none"/>
                <w:lang w:val="en-US" w:eastAsia="zh-CN"/>
              </w:rPr>
            </w:pPr>
            <w:r>
              <w:rPr>
                <w:rFonts w:hint="eastAsia" w:ascii="宋体"/>
                <w:color w:val="auto"/>
                <w:sz w:val="21"/>
                <w:szCs w:val="21"/>
                <w:highlight w:val="none"/>
                <w:lang w:val="en-US" w:eastAsia="zh-CN"/>
              </w:rPr>
              <w:t>1、评标基准价计算方法：满足比选文件要求且以有效响应文件</w:t>
            </w:r>
            <w:r>
              <w:rPr>
                <w:rFonts w:hint="eastAsia" w:ascii="宋体" w:hAnsi="宋体" w:cs="宋体"/>
                <w:color w:val="auto"/>
                <w:sz w:val="21"/>
                <w:szCs w:val="21"/>
                <w:highlight w:val="none"/>
                <w:lang w:val="en-US" w:eastAsia="zh-CN"/>
              </w:rPr>
              <w:t>比选报价</w:t>
            </w:r>
            <w:r>
              <w:rPr>
                <w:rFonts w:hint="eastAsia" w:ascii="宋体"/>
                <w:color w:val="auto"/>
                <w:sz w:val="21"/>
                <w:szCs w:val="21"/>
                <w:highlight w:val="none"/>
                <w:lang w:val="en-US" w:eastAsia="zh-CN"/>
              </w:rPr>
              <w:t>的最高价为评标基准价。</w:t>
            </w:r>
          </w:p>
          <w:p>
            <w:pPr>
              <w:spacing w:line="240" w:lineRule="atLeast"/>
              <w:rPr>
                <w:rFonts w:hint="eastAsia" w:ascii="宋体"/>
                <w:color w:val="auto"/>
                <w:sz w:val="21"/>
                <w:szCs w:val="21"/>
                <w:highlight w:val="none"/>
                <w:lang w:val="en-US" w:eastAsia="zh-CN"/>
              </w:rPr>
            </w:pPr>
            <w:r>
              <w:rPr>
                <w:rFonts w:hint="eastAsia" w:ascii="宋体"/>
                <w:color w:val="auto"/>
                <w:sz w:val="21"/>
                <w:szCs w:val="21"/>
                <w:highlight w:val="none"/>
                <w:lang w:val="en-US" w:eastAsia="zh-CN"/>
              </w:rPr>
              <w:t>（注：有效比选限价为比选人营业额分成≥15%/年）</w:t>
            </w:r>
          </w:p>
          <w:p>
            <w:pPr>
              <w:spacing w:line="240" w:lineRule="atLeast"/>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2.得分计算：</w:t>
            </w:r>
          </w:p>
          <w:p>
            <w:pPr>
              <w:spacing w:line="240" w:lineRule="atLeast"/>
              <w:rPr>
                <w:rFonts w:hint="eastAsia" w:ascii="宋体"/>
                <w:color w:val="auto"/>
                <w:sz w:val="21"/>
                <w:szCs w:val="21"/>
                <w:highlight w:val="none"/>
                <w:lang w:val="en-US" w:eastAsia="zh-CN"/>
              </w:rPr>
            </w:pPr>
            <w:r>
              <w:rPr>
                <w:rFonts w:hint="eastAsia" w:ascii="宋体"/>
                <w:color w:val="auto"/>
                <w:sz w:val="21"/>
                <w:szCs w:val="21"/>
                <w:highlight w:val="none"/>
                <w:lang w:val="en-US" w:eastAsia="zh-CN"/>
              </w:rPr>
              <w:t>当有效比选报价低于评标基准价，每低于基准价的0.5%，扣2分；报价得分按照下列公式计算：报价得分=40-（评标基准价-比选报价）/0.5%*2。</w:t>
            </w:r>
          </w:p>
          <w:p>
            <w:pPr>
              <w:spacing w:line="240" w:lineRule="atLeast"/>
              <w:rPr>
                <w:rFonts w:hint="eastAsia" w:ascii="宋体"/>
                <w:color w:val="auto"/>
                <w:sz w:val="21"/>
                <w:szCs w:val="21"/>
                <w:highlight w:val="none"/>
                <w:lang w:val="en-US" w:eastAsia="zh-CN"/>
              </w:rPr>
            </w:pPr>
            <w:r>
              <w:rPr>
                <w:rFonts w:hint="eastAsia" w:ascii="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本项得分最低为0，不计负分，</w:t>
            </w:r>
            <w:r>
              <w:rPr>
                <w:rFonts w:hint="eastAsia" w:ascii="宋体"/>
                <w:color w:val="auto"/>
                <w:sz w:val="21"/>
                <w:szCs w:val="21"/>
                <w:highlight w:val="none"/>
                <w:lang w:val="en-US" w:eastAsia="zh-CN"/>
              </w:rPr>
              <w:t>计算式报价得分四舍五入取小数点后两位。</w:t>
            </w:r>
          </w:p>
          <w:p>
            <w:pPr>
              <w:spacing w:line="240" w:lineRule="atLeast"/>
              <w:rPr>
                <w:rFonts w:hint="eastAsia" w:ascii="宋体"/>
                <w:color w:val="auto"/>
                <w:sz w:val="21"/>
                <w:szCs w:val="21"/>
                <w:highlight w:val="none"/>
                <w:lang w:val="en-US" w:eastAsia="zh-CN"/>
              </w:rPr>
            </w:pPr>
            <w:r>
              <w:rPr>
                <w:rFonts w:hint="eastAsia" w:ascii="宋体"/>
                <w:color w:val="auto"/>
                <w:sz w:val="21"/>
                <w:szCs w:val="21"/>
                <w:highlight w:val="none"/>
                <w:lang w:val="en-US" w:eastAsia="zh-CN"/>
              </w:rPr>
              <w:t>4、年营业额分成报价为整数百分比，评标基准值采取四舍五入法核算，即不足0.5（含0.5）的按0.5计算，超过0.5的按1计。</w:t>
            </w:r>
          </w:p>
        </w:tc>
        <w:tc>
          <w:tcPr>
            <w:tcW w:w="1871" w:type="dxa"/>
            <w:vAlign w:val="center"/>
          </w:tcPr>
          <w:p>
            <w:pPr>
              <w:spacing w:line="240" w:lineRule="atLeast"/>
              <w:rPr>
                <w:rFonts w:hint="default" w:ascii="宋体"/>
                <w:color w:val="auto"/>
                <w:sz w:val="21"/>
                <w:szCs w:val="21"/>
                <w:highlight w:val="none"/>
                <w:lang w:val="en-US" w:eastAsia="zh-CN"/>
              </w:rPr>
            </w:pPr>
            <w:r>
              <w:rPr>
                <w:rFonts w:hint="eastAsia" w:ascii="宋体"/>
                <w:color w:val="auto"/>
                <w:sz w:val="21"/>
                <w:szCs w:val="21"/>
                <w:highlight w:val="none"/>
                <w:lang w:val="en-US" w:eastAsia="zh-CN"/>
              </w:rPr>
              <w:t>供应商报价比选人营业额分成不低于15%/年，否则视为无效响应</w:t>
            </w:r>
          </w:p>
          <w:p>
            <w:pPr>
              <w:spacing w:line="360" w:lineRule="auto"/>
              <w:rPr>
                <w:rFonts w:hint="eastAsia" w:ascii="宋体" w:eastAsia="宋体" w:cs="Times New Roman"/>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Merge w:val="restart"/>
            <w:vAlign w:val="center"/>
          </w:tcPr>
          <w:p>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248" w:type="dxa"/>
            <w:vMerge w:val="restart"/>
            <w:vAlign w:val="center"/>
          </w:tcPr>
          <w:p>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服务部分（</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w:t>
            </w:r>
          </w:p>
        </w:tc>
        <w:tc>
          <w:tcPr>
            <w:tcW w:w="9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建设实施方案（10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5245" w:type="dxa"/>
            <w:vAlign w:val="center"/>
          </w:tcPr>
          <w:p>
            <w:pPr>
              <w:spacing w:line="240" w:lineRule="atLeast"/>
              <w:rPr>
                <w:rFonts w:hint="default"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建设实施方案</w:t>
            </w:r>
            <w:r>
              <w:rPr>
                <w:rFonts w:hint="eastAsia" w:ascii="宋体" w:hAnsi="宋体" w:cs="宋体"/>
                <w:color w:val="auto"/>
                <w:sz w:val="21"/>
                <w:szCs w:val="21"/>
                <w:highlight w:val="none"/>
              </w:rPr>
              <w:t>，方案内容包含：①</w:t>
            </w:r>
            <w:r>
              <w:rPr>
                <w:rFonts w:hint="eastAsia" w:ascii="宋体" w:hAnsi="宋体" w:cs="宋体"/>
                <w:color w:val="auto"/>
                <w:sz w:val="21"/>
                <w:szCs w:val="21"/>
                <w:highlight w:val="none"/>
                <w:lang w:val="en-US" w:eastAsia="zh-CN"/>
              </w:rPr>
              <w:t>施工中的技术和专业程度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建设周期的安排计划；</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设施设备质量保证措施；④对项目用地树木绿化的保护措施；⑤占绿规划以及连接道路规划。</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pPr>
              <w:spacing w:line="276"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方案内容存在3处瑕疵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spacing w:line="240" w:lineRule="atLeas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方案内容存在4处以上瑕疵或未提供得0分。</w:t>
            </w:r>
          </w:p>
        </w:tc>
        <w:tc>
          <w:tcPr>
            <w:tcW w:w="1871" w:type="dxa"/>
            <w:vMerge w:val="restart"/>
            <w:vAlign w:val="center"/>
          </w:tcPr>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提供方案，格式自拟。</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注：本项内容中所称的“瑕疵”指以下内容：</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①内容未包含全部项目需求，存在漏项，完整性不足；</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②存在项目名称错误、地点区域错误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内容错误</w:t>
            </w:r>
            <w:r>
              <w:rPr>
                <w:rFonts w:hint="eastAsia" w:ascii="宋体" w:hAnsi="宋体" w:eastAsia="宋体" w:cs="宋体"/>
                <w:color w:val="auto"/>
                <w:sz w:val="21"/>
                <w:szCs w:val="21"/>
                <w:highlight w:val="none"/>
              </w:rPr>
              <w:t>；</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③方案内容过于简略，仅有框架或标题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内容描述不完整</w:t>
            </w:r>
            <w:r>
              <w:rPr>
                <w:rFonts w:hint="eastAsia" w:ascii="宋体" w:hAnsi="宋体" w:eastAsia="宋体" w:cs="宋体"/>
                <w:color w:val="auto"/>
                <w:sz w:val="21"/>
                <w:szCs w:val="21"/>
                <w:highlight w:val="none"/>
              </w:rPr>
              <w:t>；</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④方案内容与本项目包含内容无关</w:t>
            </w:r>
            <w:r>
              <w:rPr>
                <w:rFonts w:hint="eastAsia" w:ascii="宋体" w:hAnsi="宋体" w:eastAsia="宋体" w:cs="宋体"/>
                <w:color w:val="auto"/>
                <w:sz w:val="21"/>
                <w:szCs w:val="21"/>
                <w:highlight w:val="none"/>
                <w:lang w:val="en-US" w:eastAsia="zh-CN"/>
              </w:rPr>
              <w:t>或有明确偏差</w:t>
            </w:r>
            <w:r>
              <w:rPr>
                <w:rFonts w:hint="eastAsia" w:ascii="宋体" w:hAnsi="宋体" w:eastAsia="宋体" w:cs="宋体"/>
                <w:color w:val="auto"/>
                <w:sz w:val="21"/>
                <w:szCs w:val="21"/>
                <w:highlight w:val="none"/>
              </w:rPr>
              <w:t>；</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⑤内容逻辑漏洞或原理错误；</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⑥方案中内容前后不一致、前后逻辑错误、涉及的规范及标准错误。</w:t>
            </w:r>
          </w:p>
          <w:p>
            <w:pPr>
              <w:spacing w:line="360" w:lineRule="auto"/>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上述任意一种情形为1处瑕疵。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Merge w:val="continue"/>
            <w:vAlign w:val="center"/>
          </w:tcPr>
          <w:p>
            <w:pPr>
              <w:snapToGrid w:val="0"/>
              <w:spacing w:line="360" w:lineRule="auto"/>
              <w:jc w:val="center"/>
              <w:rPr>
                <w:rFonts w:hint="eastAsia" w:ascii="宋体" w:hAnsi="宋体" w:cs="宋体"/>
                <w:color w:val="auto"/>
                <w:sz w:val="21"/>
                <w:szCs w:val="21"/>
                <w:highlight w:val="none"/>
              </w:rPr>
            </w:pPr>
          </w:p>
        </w:tc>
        <w:tc>
          <w:tcPr>
            <w:tcW w:w="1248" w:type="dxa"/>
            <w:vMerge w:val="continue"/>
            <w:vAlign w:val="center"/>
          </w:tcPr>
          <w:p>
            <w:pPr>
              <w:snapToGrid w:val="0"/>
              <w:spacing w:line="360" w:lineRule="auto"/>
              <w:jc w:val="center"/>
              <w:rPr>
                <w:rFonts w:hint="eastAsia" w:ascii="宋体" w:hAnsi="宋体" w:cs="宋体"/>
                <w:color w:val="auto"/>
                <w:sz w:val="21"/>
                <w:szCs w:val="21"/>
                <w:highlight w:val="none"/>
              </w:rPr>
            </w:pPr>
          </w:p>
        </w:tc>
        <w:tc>
          <w:tcPr>
            <w:tcW w:w="912" w:type="dxa"/>
            <w:vAlign w:val="center"/>
          </w:tcPr>
          <w:p>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经营管理及游客体验方案（10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5245" w:type="dxa"/>
            <w:vAlign w:val="center"/>
          </w:tcPr>
          <w:p>
            <w:pPr>
              <w:spacing w:line="276" w:lineRule="auto"/>
              <w:rPr>
                <w:rFonts w:hint="default" w:ascii="宋体" w:hAnsi="宋体" w:cs="宋体"/>
                <w:color w:val="auto"/>
                <w:kern w:val="0"/>
                <w:sz w:val="21"/>
                <w:szCs w:val="21"/>
                <w:highlight w:val="none"/>
                <w:lang w:val="en-US"/>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经营管理及游客体验方案</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方案内容包含：①</w:t>
            </w:r>
            <w:r>
              <w:rPr>
                <w:rFonts w:hint="eastAsia" w:ascii="宋体" w:hAnsi="宋体" w:cs="宋体"/>
                <w:color w:val="auto"/>
                <w:sz w:val="21"/>
                <w:szCs w:val="21"/>
                <w:highlight w:val="none"/>
                <w:lang w:val="en-US" w:eastAsia="zh-CN"/>
              </w:rPr>
              <w:t>拟投资资金；</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营销方式；</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营销渠道；④管理架构；⑤团队配置及名单；⑥管理制度；⑦价格；⑧服务水平控制目标及措施；⑨智能化管理（如票务管理系统、游乐过程拍照摄像）。</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pPr>
              <w:spacing w:line="276"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方案内容存在3处瑕疵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方案内容存在4处以上瑕疵或未提供得0分。</w:t>
            </w:r>
          </w:p>
        </w:tc>
        <w:tc>
          <w:tcPr>
            <w:tcW w:w="1871" w:type="dxa"/>
            <w:vMerge w:val="continue"/>
            <w:vAlign w:val="center"/>
          </w:tcPr>
          <w:p>
            <w:pPr>
              <w:spacing w:line="360" w:lineRule="auto"/>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Merge w:val="continue"/>
            <w:vAlign w:val="center"/>
          </w:tcPr>
          <w:p>
            <w:pPr>
              <w:snapToGrid w:val="0"/>
              <w:spacing w:line="360" w:lineRule="auto"/>
              <w:jc w:val="center"/>
              <w:rPr>
                <w:rFonts w:hint="eastAsia" w:ascii="宋体" w:hAnsi="宋体" w:cs="宋体"/>
                <w:color w:val="auto"/>
                <w:sz w:val="21"/>
                <w:szCs w:val="21"/>
                <w:highlight w:val="none"/>
              </w:rPr>
            </w:pPr>
          </w:p>
        </w:tc>
        <w:tc>
          <w:tcPr>
            <w:tcW w:w="1248" w:type="dxa"/>
            <w:vMerge w:val="continue"/>
            <w:vAlign w:val="center"/>
          </w:tcPr>
          <w:p>
            <w:pPr>
              <w:snapToGrid w:val="0"/>
              <w:spacing w:line="360" w:lineRule="auto"/>
              <w:jc w:val="center"/>
              <w:rPr>
                <w:rFonts w:hint="eastAsia" w:ascii="宋体" w:hAnsi="宋体" w:cs="宋体"/>
                <w:color w:val="auto"/>
                <w:sz w:val="21"/>
                <w:szCs w:val="21"/>
                <w:highlight w:val="none"/>
              </w:rPr>
            </w:pPr>
          </w:p>
        </w:tc>
        <w:tc>
          <w:tcPr>
            <w:tcW w:w="9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安全方案（10分）</w:t>
            </w:r>
          </w:p>
        </w:tc>
        <w:tc>
          <w:tcPr>
            <w:tcW w:w="5245" w:type="dxa"/>
            <w:vAlign w:val="center"/>
          </w:tcPr>
          <w:p>
            <w:pPr>
              <w:spacing w:line="276" w:lineRule="auto"/>
              <w:rPr>
                <w:rFonts w:hint="default" w:ascii="宋体" w:hAnsi="宋体" w:cs="宋体"/>
                <w:color w:val="auto"/>
                <w:kern w:val="0"/>
                <w:sz w:val="21"/>
                <w:szCs w:val="21"/>
                <w:highlight w:val="none"/>
                <w:lang w:val="en-US"/>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安全方案</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方案内容包含：①</w:t>
            </w:r>
            <w:r>
              <w:rPr>
                <w:rFonts w:hint="eastAsia" w:ascii="宋体" w:hAnsi="宋体" w:cs="宋体"/>
                <w:color w:val="auto"/>
                <w:sz w:val="21"/>
                <w:szCs w:val="21"/>
                <w:highlight w:val="none"/>
                <w:lang w:val="en-US" w:eastAsia="zh-CN"/>
              </w:rPr>
              <w:t>设施设备及材料安全；</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动物安全管理制度及安全措施；</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工作人员安全培训及游客安全管理制度。</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pPr>
              <w:spacing w:line="276"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方案内容存在3处瑕疵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snapToGrid w:val="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方案内容存在4处以上瑕疵或未提供得0分。</w:t>
            </w:r>
          </w:p>
        </w:tc>
        <w:tc>
          <w:tcPr>
            <w:tcW w:w="1871" w:type="dxa"/>
            <w:vMerge w:val="continue"/>
            <w:vAlign w:val="center"/>
          </w:tcPr>
          <w:p>
            <w:pPr>
              <w:spacing w:line="360" w:lineRule="auto"/>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Merge w:val="continue"/>
            <w:vAlign w:val="center"/>
          </w:tcPr>
          <w:p>
            <w:pPr>
              <w:snapToGrid w:val="0"/>
              <w:spacing w:line="360" w:lineRule="auto"/>
              <w:jc w:val="center"/>
              <w:rPr>
                <w:rFonts w:hint="eastAsia" w:ascii="宋体" w:hAnsi="宋体" w:cs="宋体"/>
                <w:color w:val="auto"/>
                <w:sz w:val="21"/>
                <w:szCs w:val="21"/>
                <w:highlight w:val="none"/>
              </w:rPr>
            </w:pPr>
          </w:p>
        </w:tc>
        <w:tc>
          <w:tcPr>
            <w:tcW w:w="1248" w:type="dxa"/>
            <w:vMerge w:val="continue"/>
            <w:vAlign w:val="center"/>
          </w:tcPr>
          <w:p>
            <w:pPr>
              <w:snapToGrid w:val="0"/>
              <w:spacing w:line="360" w:lineRule="auto"/>
              <w:jc w:val="center"/>
              <w:rPr>
                <w:rFonts w:hint="eastAsia" w:ascii="宋体" w:hAnsi="宋体" w:cs="宋体"/>
                <w:color w:val="auto"/>
                <w:sz w:val="21"/>
                <w:szCs w:val="21"/>
                <w:highlight w:val="none"/>
              </w:rPr>
            </w:pPr>
          </w:p>
        </w:tc>
        <w:tc>
          <w:tcPr>
            <w:tcW w:w="9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应急预案（10分）</w:t>
            </w:r>
          </w:p>
        </w:tc>
        <w:tc>
          <w:tcPr>
            <w:tcW w:w="5245" w:type="dxa"/>
            <w:vAlign w:val="center"/>
          </w:tcPr>
          <w:p>
            <w:pPr>
              <w:spacing w:line="276" w:lineRule="auto"/>
              <w:rPr>
                <w:rFonts w:hint="default" w:ascii="宋体" w:hAnsi="宋体" w:cs="宋体"/>
                <w:color w:val="auto"/>
                <w:kern w:val="0"/>
                <w:sz w:val="21"/>
                <w:szCs w:val="21"/>
                <w:highlight w:val="none"/>
                <w:lang w:val="en-US"/>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应急预案</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方案内容包含：①</w:t>
            </w:r>
            <w:r>
              <w:rPr>
                <w:rFonts w:hint="eastAsia" w:ascii="宋体" w:hAnsi="宋体" w:cs="宋体"/>
                <w:color w:val="auto"/>
                <w:sz w:val="21"/>
                <w:szCs w:val="21"/>
                <w:highlight w:val="none"/>
                <w:lang w:val="en-US" w:eastAsia="zh-CN"/>
              </w:rPr>
              <w:t>天气变化应急措施；</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设施设备故障应急措施；</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游客走失应急措施；④游客突发疾病或受伤应急措施。</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pPr>
              <w:spacing w:line="276"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方案内容存在3处瑕疵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snapToGrid w:val="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方案内容存在4处以上瑕疵或未提供得0分。</w:t>
            </w:r>
          </w:p>
        </w:tc>
        <w:tc>
          <w:tcPr>
            <w:tcW w:w="1871" w:type="dxa"/>
            <w:vMerge w:val="continue"/>
            <w:vAlign w:val="center"/>
          </w:tcPr>
          <w:p>
            <w:pPr>
              <w:spacing w:line="360" w:lineRule="auto"/>
              <w:jc w:val="left"/>
              <w:rPr>
                <w:rFonts w:hint="eastAsia" w:ascii="宋体" w:hAnsi="宋体" w:cs="宋体"/>
                <w:color w:val="auto"/>
                <w:sz w:val="21"/>
                <w:szCs w:val="21"/>
                <w:highlight w:val="none"/>
              </w:rPr>
            </w:pPr>
          </w:p>
        </w:tc>
      </w:tr>
      <w:bookmarkEnd w:id="150"/>
      <w:bookmarkEnd w:id="151"/>
      <w:bookmarkEnd w:id="152"/>
      <w:bookmarkEnd w:id="153"/>
    </w:tbl>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4" w:name="_Toc76462334"/>
      <w:bookmarkEnd w:id="154"/>
      <w:bookmarkStart w:id="155" w:name="_Toc106030890"/>
      <w:bookmarkEnd w:id="155"/>
      <w:bookmarkStart w:id="156" w:name="_Toc76462335"/>
      <w:bookmarkEnd w:id="156"/>
      <w:bookmarkStart w:id="157" w:name="_Toc8811"/>
      <w:bookmarkEnd w:id="157"/>
      <w:bookmarkStart w:id="158" w:name="_Toc24604"/>
      <w:bookmarkEnd w:id="158"/>
      <w:bookmarkStart w:id="159" w:name="_Toc106030889"/>
      <w:bookmarkEnd w:id="159"/>
      <w:bookmarkStart w:id="160" w:name="_Toc12242"/>
      <w:bookmarkStart w:id="161" w:name="_Toc8592"/>
      <w:bookmarkStart w:id="162" w:name="_Toc20661"/>
      <w:bookmarkStart w:id="163" w:name="_Toc102227320"/>
      <w:bookmarkStart w:id="164" w:name="_Toc342913394"/>
      <w:r>
        <w:rPr>
          <w:rFonts w:hint="eastAsia" w:asciiTheme="minorEastAsia" w:hAnsiTheme="minorEastAsia" w:eastAsiaTheme="minorEastAsia" w:cstheme="minorEastAsia"/>
          <w:color w:val="auto"/>
          <w:sz w:val="24"/>
          <w:highlight w:val="none"/>
        </w:rPr>
        <w:t>三、无效响应</w:t>
      </w:r>
      <w:bookmarkEnd w:id="160"/>
      <w:bookmarkEnd w:id="161"/>
      <w:bookmarkEnd w:id="162"/>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（二）供应商的法定代表人（或其授权代表）或自然人未到现场参加比选；</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”要求签署或盖章；</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（四）供应商的比选报价</w:t>
      </w:r>
      <w:r>
        <w:rPr>
          <w:rFonts w:hint="eastAsia" w:asciiTheme="minorEastAsia" w:hAnsiTheme="minorEastAsia" w:eastAsiaTheme="minorEastAsia" w:cstheme="minorEastAsia"/>
          <w:color w:val="auto"/>
          <w:sz w:val="24"/>
          <w:szCs w:val="24"/>
          <w:highlight w:val="none"/>
          <w:lang w:val="en-US" w:eastAsia="zh-CN"/>
        </w:rPr>
        <w:t>低于</w:t>
      </w:r>
      <w:r>
        <w:rPr>
          <w:rFonts w:hint="eastAsia" w:asciiTheme="minorEastAsia" w:hAnsiTheme="minorEastAsia" w:eastAsiaTheme="minorEastAsia" w:cstheme="minorEastAsia"/>
          <w:color w:val="auto"/>
          <w:sz w:val="24"/>
          <w:szCs w:val="24"/>
          <w:highlight w:val="none"/>
        </w:rPr>
        <w:t>采购预算或最</w:t>
      </w:r>
      <w:r>
        <w:rPr>
          <w:rFonts w:hint="eastAsia" w:asciiTheme="minorEastAsia" w:hAnsiTheme="minorEastAsia" w:eastAsiaTheme="minorEastAsia" w:cstheme="minorEastAsia"/>
          <w:color w:val="auto"/>
          <w:sz w:val="24"/>
          <w:szCs w:val="24"/>
          <w:highlight w:val="none"/>
          <w:lang w:val="en-US" w:eastAsia="zh-CN"/>
        </w:rPr>
        <w:t>低</w:t>
      </w:r>
      <w:r>
        <w:rPr>
          <w:rFonts w:hint="eastAsia" w:asciiTheme="minorEastAsia" w:hAnsiTheme="minorEastAsia" w:eastAsiaTheme="minorEastAsia" w:cstheme="minorEastAsia"/>
          <w:color w:val="auto"/>
          <w:sz w:val="24"/>
          <w:szCs w:val="24"/>
          <w:highlight w:val="none"/>
        </w:rPr>
        <w:t>限价的；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）单位负责人为同一人或者存在直接控股、管理关系的不同供应商，独立参加同一合同项下的政府采购活动的；</w:t>
      </w:r>
    </w:p>
    <w:p>
      <w:pPr>
        <w:snapToGrid w:val="0"/>
        <w:spacing w:line="400" w:lineRule="exact"/>
        <w:ind w:firstLine="480" w:firstLineChars="200"/>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color w:val="auto"/>
          <w:sz w:val="24"/>
          <w:szCs w:val="24"/>
          <w:highlight w:val="none"/>
        </w:rPr>
        <w:t>为采购项目提供整体设计、规范编制或者项目管理、监理、检测等服务的供应商再参加该采购项目的其他采购活动的</w:t>
      </w:r>
      <w:r>
        <w:rPr>
          <w:rFonts w:hint="eastAsia" w:ascii="宋体" w:hAnsi="宋体" w:cs="宋体"/>
          <w:color w:val="auto"/>
          <w:sz w:val="24"/>
          <w:szCs w:val="24"/>
          <w:highlight w:val="none"/>
          <w:lang w:eastAsia="zh-CN"/>
        </w:rPr>
        <w:t>。</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供应商比选有效期不满足竞争性比选文件要求的；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）供应商响应文件内容有与国家现行法律法规相违背的内容，或附有</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无法接受的条件；</w:t>
      </w:r>
    </w:p>
    <w:p>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color w:val="auto"/>
          <w:sz w:val="24"/>
          <w:szCs w:val="24"/>
          <w:highlight w:val="none"/>
          <w:lang w:val="en-US" w:eastAsia="zh-CN"/>
        </w:rPr>
        <w:t>未在规定时间内将</w:t>
      </w:r>
      <w:r>
        <w:rPr>
          <w:rFonts w:hint="eastAsia" w:ascii="宋体" w:hAnsi="宋体" w:cs="宋体"/>
          <w:color w:val="auto"/>
          <w:sz w:val="24"/>
          <w:szCs w:val="24"/>
          <w:highlight w:val="none"/>
          <w:lang w:val="en-US" w:eastAsia="zh-CN"/>
        </w:rPr>
        <w:t>《比选文件发售登记表</w:t>
      </w:r>
      <w:r>
        <w:rPr>
          <w:rFonts w:hint="eastAsia" w:ascii="宋体" w:hAnsi="宋体" w:eastAsia="宋体" w:cs="宋体"/>
          <w:color w:val="auto"/>
          <w:sz w:val="24"/>
          <w:szCs w:val="24"/>
          <w:highlight w:val="none"/>
          <w:lang w:val="en-US" w:eastAsia="zh-CN"/>
        </w:rPr>
        <w:t>》发送至</w:t>
      </w:r>
      <w:r>
        <w:rPr>
          <w:rFonts w:hint="eastAsia" w:ascii="宋体" w:hAnsi="宋体" w:cs="宋体"/>
          <w:color w:val="auto"/>
          <w:sz w:val="24"/>
          <w:szCs w:val="24"/>
          <w:highlight w:val="none"/>
          <w:lang w:val="en-US" w:eastAsia="zh-CN"/>
        </w:rPr>
        <w:t>比选代理机构</w:t>
      </w:r>
      <w:r>
        <w:rPr>
          <w:rFonts w:hint="eastAsia" w:ascii="宋体" w:hAnsi="宋体" w:eastAsia="宋体" w:cs="宋体"/>
          <w:color w:val="auto"/>
          <w:sz w:val="24"/>
          <w:szCs w:val="24"/>
          <w:highlight w:val="none"/>
          <w:lang w:val="en-US" w:eastAsia="zh-CN"/>
        </w:rPr>
        <w:t>邮箱的</w:t>
      </w:r>
      <w:r>
        <w:rPr>
          <w:rFonts w:hint="eastAsia" w:asciiTheme="minorEastAsia" w:hAnsiTheme="minorEastAsia" w:eastAsiaTheme="minorEastAsia" w:cstheme="minorEastAsia"/>
          <w:color w:val="auto"/>
          <w:sz w:val="24"/>
          <w:szCs w:val="24"/>
          <w:highlight w:val="none"/>
        </w:rPr>
        <w:t>；</w:t>
      </w:r>
    </w:p>
    <w:p>
      <w:pPr>
        <w:snapToGrid w:val="0"/>
        <w:spacing w:line="400" w:lineRule="exact"/>
        <w:ind w:firstLine="46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lang w:eastAsia="zh-CN"/>
        </w:rPr>
        <w:t>）未按照</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文件的规定提交</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保证金的；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十一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法律、法规和竞争性比选文件规定的其他无效情形。</w:t>
      </w:r>
    </w:p>
    <w:bookmarkEnd w:id="163"/>
    <w:bookmarkEnd w:id="164"/>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5" w:name="_Toc76462336"/>
      <w:bookmarkEnd w:id="165"/>
      <w:bookmarkStart w:id="166" w:name="_Toc106030891"/>
      <w:bookmarkEnd w:id="166"/>
      <w:bookmarkStart w:id="167" w:name="_Toc21054"/>
      <w:bookmarkEnd w:id="167"/>
      <w:bookmarkStart w:id="168" w:name="_Toc2577"/>
      <w:bookmarkStart w:id="169" w:name="_Toc30757"/>
      <w:bookmarkStart w:id="170" w:name="_Toc18456"/>
      <w:r>
        <w:rPr>
          <w:rFonts w:hint="eastAsia" w:asciiTheme="minorEastAsia" w:hAnsiTheme="minorEastAsia" w:eastAsiaTheme="minorEastAsia" w:cstheme="minorEastAsia"/>
          <w:color w:val="auto"/>
          <w:sz w:val="24"/>
          <w:highlight w:val="none"/>
        </w:rPr>
        <w:t>四、采购终止</w:t>
      </w:r>
      <w:bookmarkEnd w:id="168"/>
      <w:bookmarkEnd w:id="169"/>
      <w:bookmarkEnd w:id="170"/>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应当终止竞争性比选采购活动，发布项目终止公告并说明原因，重新开展采购活动：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（一）因情况变化，不再符合规定的竞争性比选采购方式适用情形的；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（三）通过资格性及符合性审查的供应商不足3家的。</w:t>
      </w:r>
    </w:p>
    <w:p>
      <w:pPr>
        <w:pStyle w:val="4"/>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71" w:name="_Toc102227313"/>
      <w:bookmarkEnd w:id="171"/>
      <w:bookmarkStart w:id="172" w:name="_Toc106030892"/>
      <w:bookmarkEnd w:id="172"/>
      <w:bookmarkStart w:id="173" w:name="_Toc76462337"/>
      <w:bookmarkEnd w:id="173"/>
      <w:bookmarkStart w:id="174" w:name="_Toc32240"/>
      <w:bookmarkEnd w:id="174"/>
      <w:bookmarkStart w:id="175" w:name="_Toc31318"/>
      <w:bookmarkStart w:id="176" w:name="_Toc16781"/>
      <w:bookmarkStart w:id="177" w:name="_Toc27960"/>
      <w:r>
        <w:rPr>
          <w:rFonts w:hint="eastAsia" w:asciiTheme="minorEastAsia" w:hAnsiTheme="minorEastAsia" w:eastAsiaTheme="minorEastAsia" w:cstheme="minorEastAsia"/>
          <w:color w:val="auto"/>
          <w:sz w:val="36"/>
          <w:szCs w:val="30"/>
          <w:highlight w:val="none"/>
        </w:rPr>
        <w:t>第五篇  供应商须知</w:t>
      </w:r>
      <w:bookmarkEnd w:id="175"/>
      <w:bookmarkEnd w:id="176"/>
      <w:bookmarkEnd w:id="177"/>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8" w:name="_Toc342913389"/>
      <w:bookmarkEnd w:id="178"/>
      <w:bookmarkStart w:id="179" w:name="_Toc106030893"/>
      <w:bookmarkEnd w:id="179"/>
      <w:bookmarkStart w:id="180" w:name="_Toc11013"/>
      <w:bookmarkEnd w:id="180"/>
      <w:bookmarkStart w:id="181" w:name="_Toc76462338"/>
      <w:bookmarkEnd w:id="181"/>
      <w:bookmarkStart w:id="182" w:name="_Toc15712"/>
      <w:bookmarkStart w:id="183" w:name="_Toc31641"/>
      <w:bookmarkStart w:id="184" w:name="_Toc22841"/>
      <w:r>
        <w:rPr>
          <w:rFonts w:hint="eastAsia" w:asciiTheme="minorEastAsia" w:hAnsiTheme="minorEastAsia" w:eastAsiaTheme="minorEastAsia" w:cstheme="minorEastAsia"/>
          <w:color w:val="auto"/>
          <w:sz w:val="24"/>
          <w:highlight w:val="none"/>
        </w:rPr>
        <w:t>一、比选费用</w:t>
      </w:r>
      <w:bookmarkEnd w:id="182"/>
      <w:bookmarkEnd w:id="183"/>
      <w:bookmarkEnd w:id="184"/>
    </w:p>
    <w:p>
      <w:pPr>
        <w:pStyle w:val="156"/>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参与比选的供应商应承担其编制响应文件与递交响应文件所涉及的一切费用，不论比选结果如何，</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在任何情况下无义务也无责任承担这些费用。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5" w:name="_Toc76462339"/>
      <w:bookmarkEnd w:id="185"/>
      <w:bookmarkStart w:id="186" w:name="_Toc342913391"/>
      <w:bookmarkEnd w:id="186"/>
      <w:bookmarkStart w:id="187" w:name="_Toc11832"/>
      <w:bookmarkEnd w:id="187"/>
      <w:bookmarkStart w:id="188" w:name="_Toc106030894"/>
      <w:bookmarkEnd w:id="188"/>
      <w:bookmarkStart w:id="189" w:name="_Toc19531"/>
      <w:bookmarkStart w:id="190" w:name="_Toc21109"/>
      <w:bookmarkStart w:id="191" w:name="_Toc17476"/>
      <w:r>
        <w:rPr>
          <w:rFonts w:hint="eastAsia" w:asciiTheme="minorEastAsia" w:hAnsiTheme="minorEastAsia" w:eastAsiaTheme="minorEastAsia" w:cstheme="minorEastAsia"/>
          <w:color w:val="auto"/>
          <w:sz w:val="24"/>
          <w:highlight w:val="none"/>
        </w:rPr>
        <w:t>二、竞争性比选文件</w:t>
      </w:r>
      <w:bookmarkEnd w:id="189"/>
      <w:bookmarkEnd w:id="190"/>
      <w:bookmarkEnd w:id="191"/>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（一）竞争性比选文件由采购邀请书、项目</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需求、供应商须知、项目商务需求、</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程序及方法、评审标准、无效响应和采购终止、合同主要条款和格式合同（样本）</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响应文件编制要求</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部分组成。</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）所作的一切有效的书面通知、修改及补充，都是竞争性比选文件不可分割的部分。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（三）竞争性比选文件的解释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供应商如对竞争性比选文件有疑问，以电话形式在提交响应文件截止时间1个工作日前向</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咨询。如供应商未提出疑问，视为完全理解并同意本竞争性比选文件。一经进入评审程序，即视为供应商已详细阅读全部文件资料，完全理解竞争性比选文件所有条款内容并同意放弃对这方面有不明白及误解的权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（四）评审的依据为竞争性比选文件和响应文件（含有效的书面承诺）。评审小组判断响应文件对竞争性比选文件的响应，仅基于响应文件本身而不靠外部证据。</w:t>
      </w:r>
    </w:p>
    <w:p>
      <w:pPr>
        <w:spacing w:line="400" w:lineRule="exact"/>
        <w:ind w:firstLine="480" w:firstLineChars="200"/>
        <w:outlineLvl w:val="9"/>
        <w:rPr>
          <w:rFonts w:hint="eastAsia" w:asciiTheme="minorEastAsia" w:hAnsiTheme="minorEastAsia" w:eastAsiaTheme="minorEastAsia" w:cstheme="minorEastAsia"/>
          <w:color w:val="auto"/>
          <w:sz w:val="24"/>
          <w:szCs w:val="24"/>
          <w:highlight w:val="none"/>
          <w:lang w:eastAsia="zh-CN"/>
        </w:rPr>
      </w:pPr>
      <w:bookmarkStart w:id="192" w:name="_Toc179714297"/>
      <w:bookmarkEnd w:id="192"/>
      <w:bookmarkStart w:id="193" w:name="_Toc106030895"/>
      <w:bookmarkEnd w:id="193"/>
      <w:bookmarkStart w:id="194" w:name="_Toc76462340"/>
      <w:bookmarkEnd w:id="194"/>
      <w:bookmarkStart w:id="195" w:name="_Toc29817"/>
      <w:bookmarkEnd w:id="195"/>
      <w:bookmarkStart w:id="196" w:name="_Toc102227318"/>
      <w:bookmarkEnd w:id="196"/>
      <w:bookmarkStart w:id="197" w:name="_Toc342913392"/>
      <w:bookmarkEnd w:id="197"/>
      <w:bookmarkStart w:id="198" w:name="_Toc18294"/>
      <w:bookmarkStart w:id="199" w:name="_Toc23795"/>
      <w:bookmarkStart w:id="200" w:name="_Toc4662"/>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有效期</w:t>
      </w:r>
    </w:p>
    <w:p>
      <w:pPr>
        <w:spacing w:line="400" w:lineRule="exact"/>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有效期为</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截止时间起90天。</w:t>
      </w:r>
    </w:p>
    <w:p>
      <w:pPr>
        <w:spacing w:line="4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）比选保证金</w:t>
      </w:r>
    </w:p>
    <w:p>
      <w:pPr>
        <w:snapToGrid/>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文件规定交纳</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的有效约束条件。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的有效期限在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有效期过后三十天继续有效。</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币种应与</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报价币种相同。</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宋体" w:hAnsi="宋体" w:eastAsia="宋体" w:cs="宋体"/>
          <w:color w:val="auto"/>
          <w:sz w:val="24"/>
          <w:szCs w:val="24"/>
          <w:highlight w:val="none"/>
        </w:rPr>
        <w:t>未成交供应商的保证金，在</w:t>
      </w:r>
      <w:r>
        <w:rPr>
          <w:rFonts w:hint="eastAsia" w:ascii="宋体" w:hAnsi="宋体" w:cs="宋体"/>
          <w:color w:val="auto"/>
          <w:sz w:val="24"/>
          <w:szCs w:val="24"/>
          <w:highlight w:val="none"/>
          <w:lang w:eastAsia="zh-CN"/>
        </w:rPr>
        <w:t>成交通知书</w:t>
      </w:r>
      <w:r>
        <w:rPr>
          <w:rFonts w:hint="eastAsia" w:ascii="宋体" w:hAnsi="宋体" w:eastAsia="宋体" w:cs="宋体"/>
          <w:color w:val="auto"/>
          <w:sz w:val="24"/>
          <w:szCs w:val="24"/>
          <w:highlight w:val="none"/>
        </w:rPr>
        <w:t>发放后，代理机构在五个工作日内按来款渠道直接退还。成交供应商的保证金，在成交供应商与</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签订合同后，代理机构在五个工作日内按资金来款渠道直接退还。</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有下列情形之一的，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或者采购代理机构可以不退还</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有效期撤回</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未按规定提交履约保证金的；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过程中弄虚作假，提供虚假材料的；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无正当理由不与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签订合同的；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项目转让给他人或者在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中未说明且未经</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同意，将</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项目分包给他人的；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6.6</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拒绝履行合同义务的；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6.7其他严重扰乱招投标程序的。</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三、参选要求</w:t>
      </w:r>
      <w:bookmarkEnd w:id="198"/>
      <w:bookmarkEnd w:id="199"/>
      <w:bookmarkEnd w:id="20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供应商应当按照竞争性比选文件的要求编制响应文件，并对竞争性比选文件提出的要求和条件作出实质性响应，响应文件原则上采用软面订本，同时应编制完整的页码、目录。</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响应文件组成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”规定的部分和供应商所作的一切有效补充、修改和承诺等文件组成，供应商应按照“</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”规定的目录顺序组织编写和装订，也可在基本格式基础上对表格进行扩展，未规定格式的由供应商自定格式。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（二）比选有效期：响应文件及有关承诺文件有效期为提交响应文件截止时间起90天。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（三）修正错误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若供应商所递交的响应文件中的价格出现大写金额和小写金额不一致的错误，以大写金额修正为准。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评审小组按上述修正错误的原则及方法修正供应商的报价，供应商同意并签字确认后，修正后的报价对供应商具有约束作用。如果供应商不接受修正后的价格，将失去成为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的资格。</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（四）提交响应文件的份数和签署</w:t>
      </w:r>
    </w:p>
    <w:p>
      <w:pPr>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1、响应文件一式四份，其中</w:t>
      </w:r>
      <w:r>
        <w:rPr>
          <w:rFonts w:hint="eastAsia" w:asciiTheme="minorEastAsia" w:hAnsiTheme="minorEastAsia" w:eastAsiaTheme="minorEastAsia" w:cstheme="minorEastAsia"/>
          <w:b/>
          <w:bCs/>
          <w:color w:val="auto"/>
          <w:sz w:val="24"/>
          <w:highlight w:val="none"/>
        </w:rPr>
        <w:t>正本一份，副本二份，电子文档一份</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32"/>
          <w:szCs w:val="22"/>
          <w:highlight w:val="none"/>
          <w:lang w:val="en-US" w:eastAsia="zh-CN"/>
        </w:rPr>
        <w:t>电子文档应为签字盖章后的PDF格式</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电子文档内容应与纸质文件正本一致，如不一致以纸质文件正本为准。推荐采用U盘</w:t>
      </w:r>
      <w:r>
        <w:rPr>
          <w:rFonts w:hint="eastAsia" w:asciiTheme="minorEastAsia" w:hAnsiTheme="minorEastAsia" w:eastAsiaTheme="minorEastAsia" w:cstheme="minorEastAsia"/>
          <w:color w:val="auto"/>
          <w:sz w:val="24"/>
          <w:highlight w:val="none"/>
          <w:lang w:val="en-US" w:eastAsia="zh-CN"/>
        </w:rPr>
        <w:t>或光盘</w:t>
      </w:r>
      <w:r>
        <w:rPr>
          <w:rFonts w:hint="eastAsia" w:asciiTheme="minorEastAsia" w:hAnsiTheme="minorEastAsia" w:eastAsiaTheme="minorEastAsia" w:cstheme="minorEastAsia"/>
          <w:color w:val="auto"/>
          <w:sz w:val="24"/>
          <w:highlight w:val="none"/>
        </w:rPr>
        <w:t>为电子文档载体）；副本可为正本的复印件，应与正本一致，如出现不一致情况以正本为准。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2、在响应文件正本中，</w:t>
      </w:r>
      <w:r>
        <w:rPr>
          <w:rFonts w:hint="eastAsia" w:asciiTheme="minorEastAsia" w:hAnsiTheme="minorEastAsia" w:eastAsiaTheme="minorEastAsia" w:cstheme="minorEastAsia"/>
          <w:color w:val="auto"/>
          <w:sz w:val="24"/>
          <w:highlight w:val="none"/>
          <w:lang w:eastAsia="zh-CN"/>
        </w:rPr>
        <w:t>竞争性比选文件</w:t>
      </w:r>
      <w:r>
        <w:rPr>
          <w:rFonts w:hint="eastAsia" w:asciiTheme="minorEastAsia" w:hAnsiTheme="minorEastAsia" w:eastAsiaTheme="minorEastAsia" w:cstheme="minorEastAsia"/>
          <w:color w:val="auto"/>
          <w:sz w:val="24"/>
          <w:highlight w:val="none"/>
        </w:rPr>
        <w:t>第七篇响应文件编制要求中规定签字、盖章的地方必须按其规定签字、盖章。</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（五）响应文件的递交</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1、响应文件的密封</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响应文件的正本、副本以及电子文档均应密封送达递交响应文件地点，应在封套上注明项目名称、供应商名称。若正本、副本以及电子文档分别进行密封的，还应在封套上注明“正本”、“副本”、“电子文档”字样。</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1.2封套的封口处应加盖供应商公章或由法定代表人授权代表签字。</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2、如果未按上述规定进行密封，</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对响应文件误投、丢失或提前拆封不负责任。</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（六）供应商参与人员</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各个供应商应当派1-2名代表参与比选，至少1人应为法定代表人（或其授权代表）或自然人（供应商为自然人）。</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01" w:name="_Toc76462341"/>
      <w:bookmarkEnd w:id="201"/>
      <w:bookmarkStart w:id="202" w:name="_Toc106030896"/>
      <w:bookmarkEnd w:id="202"/>
      <w:bookmarkStart w:id="203" w:name="_Toc9369"/>
      <w:bookmarkEnd w:id="203"/>
      <w:bookmarkStart w:id="204" w:name="_Toc26377"/>
      <w:bookmarkStart w:id="205" w:name="_Toc3623"/>
      <w:bookmarkStart w:id="206" w:name="_Toc30084"/>
      <w:r>
        <w:rPr>
          <w:rFonts w:hint="eastAsia" w:asciiTheme="minorEastAsia" w:hAnsiTheme="minorEastAsia" w:eastAsiaTheme="minorEastAsia" w:cstheme="minorEastAsia"/>
          <w:color w:val="auto"/>
          <w:sz w:val="24"/>
          <w:highlight w:val="none"/>
        </w:rPr>
        <w:t>四、</w:t>
      </w:r>
      <w:r>
        <w:rPr>
          <w:rFonts w:hint="eastAsia" w:asciiTheme="minorEastAsia" w:hAnsiTheme="minorEastAsia" w:eastAsiaTheme="minorEastAsia" w:cstheme="minorEastAsia"/>
          <w:color w:val="auto"/>
          <w:sz w:val="24"/>
          <w:highlight w:val="none"/>
          <w:lang w:eastAsia="zh-CN"/>
        </w:rPr>
        <w:t>成交供应商</w:t>
      </w:r>
      <w:r>
        <w:rPr>
          <w:rFonts w:hint="eastAsia" w:asciiTheme="minorEastAsia" w:hAnsiTheme="minorEastAsia" w:eastAsiaTheme="minorEastAsia" w:cstheme="minorEastAsia"/>
          <w:color w:val="auto"/>
          <w:sz w:val="24"/>
          <w:highlight w:val="none"/>
        </w:rPr>
        <w:t>的确认和变更</w:t>
      </w:r>
      <w:bookmarkEnd w:id="204"/>
      <w:bookmarkEnd w:id="205"/>
      <w:bookmarkEnd w:id="206"/>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的确认</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应当在评审结束后2个工作日内将评审报告送</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确认。</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应当在收到评审报告后5个工作日内，从评审报告提出的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中，按照排序由高到低的原则确定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，也可以书面授权评审小组直接确定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逾期未确定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且不提出异议的，视为确定评审报告提出的排序第一的供应商为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的变更</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拒绝与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签订合同的，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可以按照评标报告推荐的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顺序，确定排名下一位的候选人为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，也可以重新开展采购活动。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07" w:name="_Toc29760"/>
      <w:bookmarkEnd w:id="207"/>
      <w:bookmarkStart w:id="208" w:name="_Toc342913395"/>
      <w:bookmarkEnd w:id="208"/>
      <w:bookmarkStart w:id="209" w:name="_Toc106030897"/>
      <w:bookmarkEnd w:id="209"/>
      <w:bookmarkStart w:id="210" w:name="_Toc76462342"/>
      <w:bookmarkEnd w:id="210"/>
      <w:bookmarkStart w:id="211" w:name="_Toc102227321"/>
      <w:bookmarkEnd w:id="211"/>
      <w:bookmarkStart w:id="212" w:name="_Toc20908"/>
      <w:bookmarkStart w:id="213" w:name="_Toc994"/>
      <w:bookmarkStart w:id="214" w:name="_Toc10489"/>
      <w:r>
        <w:rPr>
          <w:rFonts w:hint="eastAsia" w:asciiTheme="minorEastAsia" w:hAnsiTheme="minorEastAsia" w:eastAsiaTheme="minorEastAsia" w:cstheme="minorEastAsia"/>
          <w:color w:val="auto"/>
          <w:sz w:val="24"/>
          <w:highlight w:val="none"/>
        </w:rPr>
        <w:t>五、成交通知</w:t>
      </w:r>
      <w:bookmarkEnd w:id="212"/>
      <w:bookmarkEnd w:id="213"/>
      <w:bookmarkEnd w:id="214"/>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确定后，</w:t>
      </w:r>
      <w:r>
        <w:rPr>
          <w:rFonts w:hint="eastAsia" w:asciiTheme="minorEastAsia" w:hAnsiTheme="minorEastAsia" w:eastAsiaTheme="minorEastAsia" w:cstheme="minorEastAsia"/>
          <w:color w:val="auto"/>
          <w:sz w:val="24"/>
          <w:szCs w:val="24"/>
          <w:highlight w:val="none"/>
          <w:lang w:val="en-US" w:eastAsia="zh-CN"/>
        </w:rPr>
        <w:t>比选人或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将在</w:t>
      </w:r>
      <w:r>
        <w:rPr>
          <w:rFonts w:hint="eastAsia" w:ascii="宋体" w:hAnsi="宋体" w:eastAsia="宋体" w:cs="宋体"/>
          <w:color w:val="auto"/>
          <w:sz w:val="24"/>
          <w:szCs w:val="24"/>
          <w:highlight w:val="none"/>
          <w:lang w:eastAsia="zh-CN"/>
        </w:rPr>
        <w:t>“重庆</w:t>
      </w:r>
      <w:r>
        <w:rPr>
          <w:rFonts w:hint="eastAsia" w:ascii="宋体" w:hAnsi="宋体" w:eastAsia="宋体" w:cs="宋体"/>
          <w:color w:val="auto"/>
          <w:sz w:val="24"/>
          <w:szCs w:val="24"/>
          <w:highlight w:val="none"/>
          <w:lang w:val="en-US" w:eastAsia="zh-CN"/>
        </w:rPr>
        <w:t>园博园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（http://www.cqybh2011.com/cqyby/index.html）</w:t>
      </w:r>
      <w:r>
        <w:rPr>
          <w:rFonts w:hint="eastAsia" w:ascii="宋体" w:hAnsi="宋体" w:eastAsia="宋体" w:cs="宋体"/>
          <w:color w:val="auto"/>
          <w:sz w:val="24"/>
          <w:szCs w:val="24"/>
          <w:highlight w:val="none"/>
          <w:lang w:val="en-US" w:eastAsia="zh-CN"/>
        </w:rPr>
        <w:t>和“中国采购与招标网”（https://www.chinabidding.com.cn/）</w:t>
      </w:r>
      <w:r>
        <w:rPr>
          <w:rFonts w:hint="eastAsia" w:asciiTheme="minorEastAsia" w:hAnsiTheme="minorEastAsia" w:eastAsiaTheme="minorEastAsia" w:cstheme="minorEastAsia"/>
          <w:color w:val="auto"/>
          <w:sz w:val="24"/>
          <w:szCs w:val="24"/>
          <w:highlight w:val="none"/>
        </w:rPr>
        <w:t>上发布成交结果公告。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将以书面形式发出《成交通知书》。《成交通知书》一经发出即发生法律效力。</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215" w:name="_Toc76462343"/>
      <w:bookmarkEnd w:id="215"/>
      <w:bookmarkStart w:id="216" w:name="_Toc106030898"/>
      <w:bookmarkEnd w:id="216"/>
      <w:bookmarkStart w:id="217" w:name="_Toc27425"/>
      <w:bookmarkEnd w:id="217"/>
      <w:bookmarkStart w:id="218" w:name="_Toc16322"/>
      <w:bookmarkStart w:id="219" w:name="_Toc27612"/>
      <w:bookmarkStart w:id="220" w:name="_Toc4289"/>
      <w:r>
        <w:rPr>
          <w:rFonts w:hint="eastAsia" w:asciiTheme="minorEastAsia" w:hAnsiTheme="minorEastAsia" w:eastAsiaTheme="minorEastAsia" w:cstheme="minorEastAsia"/>
          <w:color w:val="auto"/>
          <w:sz w:val="24"/>
          <w:highlight w:val="none"/>
        </w:rPr>
        <w:t>六、关于</w:t>
      </w:r>
      <w:bookmarkEnd w:id="218"/>
      <w:bookmarkEnd w:id="219"/>
      <w:bookmarkEnd w:id="220"/>
      <w:r>
        <w:rPr>
          <w:rFonts w:hint="eastAsia" w:asciiTheme="minorEastAsia" w:hAnsiTheme="minorEastAsia" w:eastAsiaTheme="minorEastAsia" w:cstheme="minorEastAsia"/>
          <w:color w:val="auto"/>
          <w:sz w:val="24"/>
          <w:highlight w:val="none"/>
          <w:lang w:val="en-US" w:eastAsia="zh-CN"/>
        </w:rPr>
        <w:t>质疑</w:t>
      </w:r>
    </w:p>
    <w:p>
      <w:pPr>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（一）质疑</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过程和成交结果使自己的权益收到伤害的，可向</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人或</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代理机构以书面形式提出质疑。</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提出质疑的应当是参与所质疑项目采购活动的供应商。 </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1.1供应商认为</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过程、成交结果使自己的权益受到损害的，可以在知道或者应知其权益受到损害之日起</w:t>
      </w:r>
      <w:r>
        <w:rPr>
          <w:rFonts w:hint="eastAsia" w:ascii="宋体" w:hAnsi="宋体" w:eastAsia="宋体" w:cs="宋体"/>
          <w:b/>
          <w:bCs/>
          <w:color w:val="auto"/>
          <w:sz w:val="24"/>
          <w:highlight w:val="none"/>
          <w:lang w:eastAsia="zh-CN"/>
        </w:rPr>
        <w:t>2</w:t>
      </w:r>
      <w:r>
        <w:rPr>
          <w:rFonts w:hint="eastAsia" w:ascii="宋体" w:hAnsi="宋体" w:eastAsia="宋体" w:cs="宋体"/>
          <w:color w:val="auto"/>
          <w:sz w:val="24"/>
          <w:highlight w:val="none"/>
        </w:rPr>
        <w:t>个工作日内，以书面形式向</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代理机构提出质疑。</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z w:val="24"/>
          <w:szCs w:val="24"/>
          <w:highlight w:val="none"/>
        </w:rPr>
        <w:t>质疑项目的项目名称、</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以及采购执行编号</w:t>
      </w:r>
      <w:r>
        <w:rPr>
          <w:rFonts w:hint="eastAsia" w:ascii="宋体" w:hAnsi="宋体" w:eastAsia="宋体" w:cs="宋体"/>
          <w:color w:val="auto"/>
          <w:sz w:val="24"/>
          <w:highlight w:val="none"/>
        </w:rPr>
        <w:t>；</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代理机构应当在收到供应商的书面质疑后七个工作日内作出答复，并以书面形式通知质疑供应商和其他有关供应商。</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highlight w:val="none"/>
        </w:rPr>
        <w:t>3.2质疑函范本可在财政部门户网站和中国政府采购网下载。</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21" w:name="_Toc76462344"/>
      <w:bookmarkEnd w:id="221"/>
      <w:bookmarkStart w:id="222" w:name="_Toc813"/>
      <w:bookmarkEnd w:id="222"/>
      <w:bookmarkStart w:id="223" w:name="_Toc106030899"/>
      <w:bookmarkEnd w:id="223"/>
      <w:bookmarkStart w:id="224" w:name="_Toc3392"/>
      <w:bookmarkStart w:id="225" w:name="_Toc16809"/>
      <w:bookmarkStart w:id="226" w:name="_Toc27468"/>
      <w:r>
        <w:rPr>
          <w:rFonts w:hint="eastAsia" w:asciiTheme="minorEastAsia" w:hAnsiTheme="minorEastAsia" w:eastAsiaTheme="minorEastAsia" w:cstheme="minorEastAsia"/>
          <w:color w:val="auto"/>
          <w:sz w:val="24"/>
          <w:highlight w:val="none"/>
        </w:rPr>
        <w:t>七、采购代理服务费</w:t>
      </w:r>
      <w:bookmarkEnd w:id="224"/>
      <w:bookmarkEnd w:id="225"/>
      <w:bookmarkEnd w:id="226"/>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一</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供应商成交后领取成交通知书前</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向</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缴纳采购代理服务费，采购代理服务费</w:t>
      </w:r>
      <w:r>
        <w:rPr>
          <w:rFonts w:hint="eastAsia" w:asciiTheme="minorEastAsia" w:hAnsiTheme="minorEastAsia" w:eastAsiaTheme="minorEastAsia" w:cstheme="minorEastAsia"/>
          <w:color w:val="auto"/>
          <w:sz w:val="24"/>
          <w:highlight w:val="none"/>
          <w:lang w:val="en-US" w:eastAsia="zh-CN"/>
        </w:rPr>
        <w:t>包干价5500元</w:t>
      </w:r>
      <w:r>
        <w:rPr>
          <w:rFonts w:hint="eastAsia" w:asciiTheme="minorEastAsia" w:hAnsiTheme="minorEastAsia" w:eastAsiaTheme="minorEastAsia" w:cstheme="minorEastAsia"/>
          <w:color w:val="auto"/>
          <w:sz w:val="24"/>
          <w:highlight w:val="none"/>
        </w:rPr>
        <w:t>。</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）采购代理服务费缴纳账户信息：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227" w:name="_Toc342913396"/>
      <w:bookmarkEnd w:id="227"/>
      <w:bookmarkStart w:id="228" w:name="_Toc102227322"/>
      <w:bookmarkEnd w:id="228"/>
      <w:bookmarkStart w:id="229" w:name="_Toc30259"/>
      <w:bookmarkEnd w:id="229"/>
      <w:bookmarkStart w:id="230" w:name="_Toc76462346"/>
      <w:bookmarkEnd w:id="230"/>
      <w:bookmarkStart w:id="231" w:name="_Toc106030901"/>
      <w:bookmarkEnd w:id="231"/>
      <w:bookmarkStart w:id="232" w:name="_Toc22641"/>
      <w:bookmarkStart w:id="233" w:name="_Toc27155"/>
      <w:bookmarkStart w:id="234" w:name="_Toc12789059"/>
      <w:bookmarkStart w:id="235" w:name="_Toc11641055"/>
      <w:r>
        <w:rPr>
          <w:rFonts w:hint="eastAsia" w:asciiTheme="minorEastAsia" w:hAnsiTheme="minorEastAsia" w:eastAsiaTheme="minorEastAsia" w:cstheme="minorEastAsia"/>
          <w:color w:val="auto"/>
          <w:sz w:val="24"/>
          <w:szCs w:val="24"/>
          <w:highlight w:val="none"/>
        </w:rPr>
        <w:t>户  名：华春建设工程项目管理有限责任公司重庆分公司</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开户行：工行刘家台支行</w:t>
      </w:r>
    </w:p>
    <w:p>
      <w:pPr>
        <w:spacing w:line="400" w:lineRule="exact"/>
        <w:ind w:firstLine="480" w:firstLineChars="200"/>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color w:val="auto"/>
          <w:sz w:val="24"/>
          <w:szCs w:val="24"/>
          <w:highlight w:val="none"/>
        </w:rPr>
        <w:t>账  号：3100 2105 0900 0017 004</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36" w:name="_Toc11813"/>
      <w:r>
        <w:rPr>
          <w:rFonts w:hint="eastAsia" w:asciiTheme="minorEastAsia" w:hAnsiTheme="minorEastAsia" w:eastAsiaTheme="minorEastAsia" w:cstheme="minorEastAsia"/>
          <w:color w:val="auto"/>
          <w:sz w:val="24"/>
          <w:highlight w:val="none"/>
        </w:rPr>
        <w:t>八、签订合同</w:t>
      </w:r>
      <w:bookmarkEnd w:id="232"/>
      <w:bookmarkEnd w:id="233"/>
      <w:bookmarkEnd w:id="236"/>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lang w:eastAsia="zh-CN"/>
        </w:rPr>
        <w:t>比选人</w:t>
      </w:r>
      <w:r>
        <w:rPr>
          <w:rFonts w:hint="eastAsia" w:asciiTheme="minorEastAsia" w:hAnsiTheme="minorEastAsia" w:eastAsiaTheme="minorEastAsia" w:cstheme="minorEastAsia"/>
          <w:color w:val="auto"/>
          <w:sz w:val="24"/>
          <w:highlight w:val="none"/>
        </w:rPr>
        <w:t>原则上应在成交通知书发出之日起二十日内和</w:t>
      </w:r>
      <w:r>
        <w:rPr>
          <w:rFonts w:hint="eastAsia" w:asciiTheme="minorEastAsia" w:hAnsiTheme="minorEastAsia" w:eastAsiaTheme="minorEastAsia" w:cstheme="minorEastAsia"/>
          <w:color w:val="auto"/>
          <w:sz w:val="24"/>
          <w:highlight w:val="none"/>
          <w:lang w:eastAsia="zh-CN"/>
        </w:rPr>
        <w:t>成交供应商</w:t>
      </w:r>
      <w:r>
        <w:rPr>
          <w:rFonts w:hint="eastAsia" w:asciiTheme="minorEastAsia" w:hAnsiTheme="minorEastAsia" w:eastAsiaTheme="minorEastAsia" w:cstheme="minorEastAsia"/>
          <w:color w:val="auto"/>
          <w:sz w:val="24"/>
          <w:highlight w:val="none"/>
        </w:rPr>
        <w:t>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。所签订的合同不得对竞争性比选文件和供应商的响应文件作实质性修改。其他未尽事宜由</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在采购合同中详细约定。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（二）竞争性比选文件、供应商的响应文件及澄清文件等，均为签订采购合同的依据。</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提供履约保证金的，应当在竞争性比选文件中予以约定。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履约完毕后，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根据采购文件规定无息退还其履约保证金。</w:t>
      </w:r>
      <w:bookmarkStart w:id="237" w:name="_Toc106030902"/>
      <w:bookmarkEnd w:id="237"/>
      <w:bookmarkStart w:id="238" w:name="_Toc16198"/>
      <w:bookmarkEnd w:id="238"/>
    </w:p>
    <w:p>
      <w:pPr>
        <w:rPr>
          <w:rFonts w:hint="eastAsia" w:asciiTheme="minorEastAsia" w:hAnsiTheme="minorEastAsia" w:eastAsiaTheme="minorEastAsia" w:cstheme="minorEastAsia"/>
          <w:color w:val="auto"/>
          <w:sz w:val="24"/>
          <w:szCs w:val="24"/>
          <w:highlight w:val="none"/>
        </w:rPr>
      </w:pPr>
    </w:p>
    <w:p>
      <w:pPr>
        <w:pStyle w:val="4"/>
        <w:pageBreakBefore/>
        <w:spacing w:before="0" w:after="0" w:line="360" w:lineRule="auto"/>
        <w:jc w:val="center"/>
        <w:rPr>
          <w:rFonts w:hint="eastAsia" w:asciiTheme="minorEastAsia" w:hAnsiTheme="minorEastAsia" w:eastAsiaTheme="minorEastAsia" w:cstheme="minorEastAsia"/>
          <w:color w:val="auto"/>
          <w:sz w:val="36"/>
          <w:szCs w:val="30"/>
          <w:highlight w:val="none"/>
          <w:lang w:val="en-US" w:eastAsia="zh-CN"/>
        </w:rPr>
      </w:pPr>
      <w:bookmarkStart w:id="239" w:name="_Toc5582"/>
      <w:r>
        <w:rPr>
          <w:rFonts w:hint="eastAsia" w:asciiTheme="minorEastAsia" w:hAnsiTheme="minorEastAsia" w:eastAsiaTheme="minorEastAsia" w:cstheme="minorEastAsia"/>
          <w:color w:val="auto"/>
          <w:sz w:val="36"/>
          <w:szCs w:val="30"/>
          <w:highlight w:val="none"/>
          <w:lang w:val="en-US" w:eastAsia="zh-CN"/>
        </w:rPr>
        <w:t xml:space="preserve">第六篇 </w:t>
      </w:r>
      <w:bookmarkEnd w:id="239"/>
      <w:bookmarkStart w:id="240" w:name="_Toc14081"/>
      <w:bookmarkStart w:id="241" w:name="_Toc436925127"/>
      <w:bookmarkStart w:id="242" w:name="_Toc461641182"/>
      <w:bookmarkStart w:id="243" w:name="_Toc440794668"/>
      <w:r>
        <w:rPr>
          <w:rFonts w:hint="eastAsia" w:asciiTheme="minorEastAsia" w:hAnsiTheme="minorEastAsia" w:eastAsiaTheme="minorEastAsia" w:cstheme="minorEastAsia"/>
          <w:color w:val="auto"/>
          <w:sz w:val="36"/>
          <w:szCs w:val="30"/>
          <w:highlight w:val="none"/>
          <w:lang w:val="en-US" w:eastAsia="zh-CN"/>
        </w:rPr>
        <w:t>采购合同（参考）</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采购合同</w:t>
      </w:r>
    </w:p>
    <w:p>
      <w:pPr>
        <w:spacing w:line="500" w:lineRule="exact"/>
        <w:jc w:val="center"/>
        <w:rPr>
          <w:rFonts w:hint="eastAsia" w:ascii="宋体" w:hAnsi="宋体" w:cs="宋体"/>
          <w:color w:val="auto"/>
          <w:highlight w:val="none"/>
        </w:rPr>
      </w:pPr>
      <w:r>
        <w:rPr>
          <w:rFonts w:hint="eastAsia" w:ascii="宋体" w:hAnsi="宋体" w:cs="宋体"/>
          <w:color w:val="auto"/>
          <w:highlight w:val="none"/>
        </w:rPr>
        <w:t>（项目</w:t>
      </w:r>
      <w:r>
        <w:rPr>
          <w:rFonts w:hint="eastAsia" w:ascii="宋体" w:hAnsi="宋体" w:cs="宋体"/>
          <w:color w:val="auto"/>
          <w:highlight w:val="none"/>
          <w:lang w:val="en-US" w:eastAsia="zh-CN"/>
        </w:rPr>
        <w:t>编</w:t>
      </w:r>
      <w:r>
        <w:rPr>
          <w:rFonts w:hint="eastAsia" w:ascii="宋体" w:hAnsi="宋体" w:cs="宋体"/>
          <w:color w:val="auto"/>
          <w:highlight w:val="none"/>
        </w:rPr>
        <w:t>号：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甲方（需方）：___________________________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乙方（供方）：___________________________    </w:t>
      </w:r>
    </w:p>
    <w:p>
      <w:pPr>
        <w:spacing w:line="500" w:lineRule="exact"/>
        <w:rPr>
          <w:rFonts w:hint="eastAsia" w:ascii="宋体" w:hAnsi="宋体" w:cs="宋体"/>
          <w:color w:val="auto"/>
          <w:sz w:val="24"/>
          <w:highlight w:val="none"/>
        </w:rPr>
      </w:pP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经双方协商一致，达成以下合同：</w:t>
      </w:r>
    </w:p>
    <w:tbl>
      <w:tblPr>
        <w:tblStyle w:val="60"/>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1340"/>
        <w:gridCol w:w="1163"/>
        <w:gridCol w:w="1735"/>
        <w:gridCol w:w="1335"/>
        <w:gridCol w:w="133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2617" w:type="dxa"/>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rPr>
              <w:t>项目名称</w:t>
            </w:r>
          </w:p>
        </w:tc>
        <w:tc>
          <w:tcPr>
            <w:tcW w:w="2503" w:type="dxa"/>
            <w:gridSpan w:val="2"/>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比选人营业额</w:t>
            </w:r>
            <w:r>
              <w:rPr>
                <w:rFonts w:hint="eastAsia" w:ascii="宋体" w:hAnsi="宋体" w:cs="宋体"/>
                <w:color w:val="auto"/>
                <w:sz w:val="21"/>
                <w:szCs w:val="21"/>
                <w:highlight w:val="none"/>
              </w:rPr>
              <w:t>分成比例</w:t>
            </w:r>
          </w:p>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%/年</w:t>
            </w:r>
            <w:r>
              <w:rPr>
                <w:rFonts w:hint="eastAsia" w:ascii="宋体" w:hAnsi="宋体" w:cs="宋体"/>
                <w:color w:val="auto"/>
                <w:sz w:val="21"/>
                <w:szCs w:val="21"/>
                <w:highlight w:val="none"/>
                <w:lang w:eastAsia="zh-CN"/>
              </w:rPr>
              <w:t>）</w:t>
            </w:r>
          </w:p>
        </w:tc>
        <w:tc>
          <w:tcPr>
            <w:tcW w:w="1735" w:type="dxa"/>
            <w:vAlign w:val="center"/>
          </w:tcPr>
          <w:p>
            <w:pPr>
              <w:spacing w:line="240" w:lineRule="atLeas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保底营业额</w:t>
            </w:r>
          </w:p>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万</w:t>
            </w:r>
            <w:r>
              <w:rPr>
                <w:rFonts w:hint="eastAsia" w:ascii="宋体" w:hAnsi="宋体" w:cs="宋体"/>
                <w:color w:val="auto"/>
                <w:sz w:val="21"/>
                <w:szCs w:val="21"/>
                <w:highlight w:val="none"/>
              </w:rPr>
              <w:t>元/</w:t>
            </w:r>
            <w:r>
              <w:rPr>
                <w:rFonts w:hint="eastAsia" w:ascii="宋体" w:hAnsi="宋体" w:cs="宋体"/>
                <w:color w:val="auto"/>
                <w:sz w:val="21"/>
                <w:szCs w:val="21"/>
                <w:highlight w:val="none"/>
                <w:lang w:val="en-US" w:eastAsia="zh-CN"/>
              </w:rPr>
              <w:t>年</w:t>
            </w:r>
            <w:r>
              <w:rPr>
                <w:rFonts w:hint="eastAsia" w:ascii="宋体" w:hAnsi="宋体" w:cs="宋体"/>
                <w:color w:val="auto"/>
                <w:sz w:val="21"/>
                <w:szCs w:val="21"/>
                <w:highlight w:val="none"/>
              </w:rPr>
              <w:t>）</w:t>
            </w:r>
          </w:p>
        </w:tc>
        <w:tc>
          <w:tcPr>
            <w:tcW w:w="1335" w:type="dxa"/>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335" w:type="dxa"/>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2617" w:type="dxa"/>
            <w:vAlign w:val="center"/>
          </w:tcPr>
          <w:p>
            <w:pPr>
              <w:spacing w:line="240" w:lineRule="atLeast"/>
              <w:jc w:val="center"/>
              <w:rPr>
                <w:rFonts w:hint="eastAsia" w:ascii="宋体" w:hAnsi="宋体" w:cs="宋体"/>
                <w:color w:val="auto"/>
                <w:sz w:val="21"/>
                <w:szCs w:val="21"/>
                <w:highlight w:val="none"/>
              </w:rPr>
            </w:pPr>
          </w:p>
        </w:tc>
        <w:tc>
          <w:tcPr>
            <w:tcW w:w="2503" w:type="dxa"/>
            <w:gridSpan w:val="2"/>
            <w:vAlign w:val="center"/>
          </w:tcPr>
          <w:p>
            <w:pPr>
              <w:spacing w:line="240" w:lineRule="atLeast"/>
              <w:jc w:val="center"/>
              <w:rPr>
                <w:rFonts w:hint="eastAsia" w:ascii="宋体" w:hAnsi="宋体" w:cs="宋体"/>
                <w:color w:val="auto"/>
                <w:sz w:val="21"/>
                <w:szCs w:val="21"/>
                <w:highlight w:val="none"/>
              </w:rPr>
            </w:pPr>
          </w:p>
        </w:tc>
        <w:tc>
          <w:tcPr>
            <w:tcW w:w="1735" w:type="dxa"/>
            <w:vAlign w:val="center"/>
          </w:tcPr>
          <w:p>
            <w:pPr>
              <w:spacing w:line="240" w:lineRule="atLeast"/>
              <w:jc w:val="center"/>
              <w:rPr>
                <w:rFonts w:hint="eastAsia" w:ascii="宋体" w:hAnsi="宋体" w:cs="宋体"/>
                <w:color w:val="auto"/>
                <w:sz w:val="21"/>
                <w:szCs w:val="21"/>
                <w:highlight w:val="none"/>
              </w:rPr>
            </w:pPr>
          </w:p>
        </w:tc>
        <w:tc>
          <w:tcPr>
            <w:tcW w:w="1335" w:type="dxa"/>
            <w:vAlign w:val="center"/>
          </w:tcPr>
          <w:p>
            <w:pPr>
              <w:spacing w:line="240" w:lineRule="atLeast"/>
              <w:jc w:val="center"/>
              <w:rPr>
                <w:rFonts w:hint="eastAsia" w:ascii="宋体" w:hAnsi="宋体" w:cs="宋体"/>
                <w:color w:val="auto"/>
                <w:sz w:val="21"/>
                <w:szCs w:val="21"/>
                <w:highlight w:val="none"/>
              </w:rPr>
            </w:pPr>
          </w:p>
        </w:tc>
        <w:tc>
          <w:tcPr>
            <w:tcW w:w="1335" w:type="dxa"/>
            <w:vAlign w:val="center"/>
          </w:tcPr>
          <w:p>
            <w:pPr>
              <w:spacing w:line="240" w:lineRule="atLeas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76" w:hRule="atLeast"/>
        </w:trPr>
        <w:tc>
          <w:tcPr>
            <w:tcW w:w="9525" w:type="dxa"/>
            <w:gridSpan w:val="6"/>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539" w:type="dxa"/>
            <w:gridSpan w:val="7"/>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二、</w:t>
            </w:r>
            <w:r>
              <w:rPr>
                <w:rFonts w:hint="eastAsia" w:ascii="宋体" w:hAnsi="宋体" w:cs="宋体"/>
                <w:color w:val="auto"/>
                <w:sz w:val="21"/>
                <w:szCs w:val="21"/>
                <w:highlight w:val="none"/>
                <w:lang w:val="en-US" w:eastAsia="zh-CN"/>
              </w:rPr>
              <w:t>验收</w:t>
            </w:r>
            <w:r>
              <w:rPr>
                <w:rFonts w:hint="eastAsia" w:ascii="宋体" w:hAnsi="宋体" w:cs="宋体"/>
                <w:color w:val="auto"/>
                <w:sz w:val="21"/>
                <w:szCs w:val="21"/>
                <w:highlight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9" w:type="dxa"/>
            <w:gridSpan w:val="7"/>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三、</w:t>
            </w:r>
            <w:r>
              <w:rPr>
                <w:rFonts w:hint="eastAsia" w:ascii="宋体" w:hAnsi="宋体" w:cs="宋体"/>
                <w:color w:val="auto"/>
                <w:sz w:val="21"/>
                <w:szCs w:val="21"/>
                <w:highlight w:val="none"/>
                <w:lang w:val="en-US" w:eastAsia="zh-CN"/>
              </w:rPr>
              <w:t>结算</w:t>
            </w:r>
            <w:r>
              <w:rPr>
                <w:rFonts w:hint="eastAsia" w:ascii="宋体" w:hAnsi="宋体" w:cs="宋体"/>
                <w:color w:val="auto"/>
                <w:sz w:val="21"/>
                <w:szCs w:val="21"/>
                <w:highlight w:val="none"/>
              </w:rPr>
              <w:t>方式：</w:t>
            </w:r>
          </w:p>
          <w:p>
            <w:pPr>
              <w:pStyle w:val="32"/>
              <w:spacing w:line="240" w:lineRule="atLeas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539" w:type="dxa"/>
            <w:gridSpan w:val="7"/>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四、违约责任：</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按《中华人民共和国民法典》、《政府采购法》执行，或按双方约定。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539" w:type="dxa"/>
            <w:gridSpan w:val="7"/>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五、其他约定事项：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1.采购文件及其补遗文件、响应文件和承诺是本合同不可分割的部分。</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需方__份，供方__份，具同等法律效力。</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7" w:type="dxa"/>
            <w:gridSpan w:val="2"/>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需方：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5582" w:type="dxa"/>
            <w:gridSpan w:val="5"/>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供方：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账号：</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p>
            <w:pPr>
              <w:widowControl/>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9" w:type="dxa"/>
            <w:gridSpan w:val="7"/>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p>
            <w:pPr>
              <w:spacing w:line="240" w:lineRule="atLeast"/>
              <w:rPr>
                <w:rFonts w:hint="eastAsia" w:ascii="宋体" w:hAnsi="宋体" w:cs="宋体"/>
                <w:color w:val="auto"/>
                <w:sz w:val="21"/>
                <w:szCs w:val="21"/>
                <w:highlight w:val="none"/>
              </w:rPr>
            </w:pPr>
          </w:p>
          <w:p>
            <w:pPr>
              <w:spacing w:line="240" w:lineRule="atLeast"/>
              <w:rPr>
                <w:rFonts w:hint="eastAsia" w:ascii="宋体" w:hAnsi="宋体" w:cs="宋体"/>
                <w:color w:val="auto"/>
                <w:sz w:val="21"/>
                <w:szCs w:val="21"/>
                <w:highlight w:val="none"/>
              </w:rPr>
            </w:pPr>
          </w:p>
        </w:tc>
      </w:tr>
    </w:tbl>
    <w:p>
      <w:pPr>
        <w:rPr>
          <w:rFonts w:hint="eastAsia" w:ascii="宋体" w:hAnsi="宋体" w:cs="宋体"/>
          <w:color w:val="auto"/>
          <w:sz w:val="24"/>
          <w:highlight w:val="none"/>
        </w:rPr>
      </w:pPr>
      <w:r>
        <w:rPr>
          <w:rFonts w:hint="eastAsia" w:ascii="宋体" w:hAnsi="宋体" w:cs="宋体"/>
          <w:color w:val="auto"/>
          <w:sz w:val="24"/>
          <w:highlight w:val="none"/>
        </w:rPr>
        <w:t>签约时间：           年   月   日      签约地点：</w:t>
      </w:r>
    </w:p>
    <w:p>
      <w:pPr>
        <w:widowControl/>
        <w:kinsoku/>
        <w:wordWrap/>
        <w:overflowPunct/>
        <w:topLinePunct w:val="0"/>
        <w:autoSpaceDE/>
        <w:autoSpaceDN/>
        <w:bidi w:val="0"/>
        <w:spacing w:line="360" w:lineRule="auto"/>
        <w:jc w:val="left"/>
        <w:textAlignment w:val="auto"/>
        <w:rPr>
          <w:rFonts w:hint="eastAsia" w:ascii="宋体" w:hAnsi="宋体" w:eastAsia="宋体" w:cs="宋体"/>
          <w:b/>
          <w:bCs/>
          <w:color w:val="auto"/>
          <w:sz w:val="22"/>
          <w:szCs w:val="22"/>
          <w:highlight w:val="none"/>
        </w:rPr>
      </w:pPr>
    </w:p>
    <w:bookmarkEnd w:id="240"/>
    <w:bookmarkEnd w:id="241"/>
    <w:bookmarkEnd w:id="242"/>
    <w:bookmarkEnd w:id="243"/>
    <w:p>
      <w:pPr>
        <w:pStyle w:val="4"/>
        <w:spacing w:before="0" w:after="0" w:line="360" w:lineRule="auto"/>
        <w:jc w:val="center"/>
        <w:rPr>
          <w:rFonts w:hint="eastAsia" w:asciiTheme="minorEastAsia" w:hAnsiTheme="minorEastAsia" w:eastAsiaTheme="minorEastAsia" w:cstheme="minorEastAsia"/>
          <w:color w:val="auto"/>
          <w:sz w:val="36"/>
          <w:szCs w:val="36"/>
          <w:highlight w:val="none"/>
        </w:rPr>
      </w:pPr>
      <w:bookmarkStart w:id="244" w:name="_Toc11026"/>
      <w:bookmarkStart w:id="245" w:name="_Toc14944"/>
      <w:bookmarkStart w:id="246" w:name="_Toc13094"/>
    </w:p>
    <w:p>
      <w:pPr>
        <w:pStyle w:val="4"/>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color w:val="auto"/>
          <w:sz w:val="36"/>
          <w:szCs w:val="36"/>
          <w:highlight w:val="none"/>
        </w:rPr>
        <w:t>第</w:t>
      </w:r>
      <w:r>
        <w:rPr>
          <w:rFonts w:hint="eastAsia" w:asciiTheme="minorEastAsia" w:hAnsiTheme="minorEastAsia" w:eastAsiaTheme="minorEastAsia" w:cstheme="minorEastAsia"/>
          <w:color w:val="auto"/>
          <w:sz w:val="36"/>
          <w:szCs w:val="36"/>
          <w:highlight w:val="none"/>
          <w:lang w:val="en-US" w:eastAsia="zh-CN"/>
        </w:rPr>
        <w:t>七</w:t>
      </w:r>
      <w:r>
        <w:rPr>
          <w:rFonts w:hint="eastAsia" w:asciiTheme="minorEastAsia" w:hAnsiTheme="minorEastAsia" w:eastAsiaTheme="minorEastAsia" w:cstheme="minorEastAsia"/>
          <w:color w:val="auto"/>
          <w:sz w:val="36"/>
          <w:szCs w:val="36"/>
          <w:highlight w:val="none"/>
        </w:rPr>
        <w:t xml:space="preserve">篇  </w:t>
      </w:r>
      <w:bookmarkEnd w:id="234"/>
      <w:bookmarkEnd w:id="235"/>
      <w:bookmarkEnd w:id="244"/>
      <w:bookmarkStart w:id="247" w:name="_Toc26889"/>
      <w:r>
        <w:rPr>
          <w:rFonts w:hint="eastAsia" w:asciiTheme="minorEastAsia" w:hAnsiTheme="minorEastAsia" w:eastAsiaTheme="minorEastAsia" w:cstheme="minorEastAsia"/>
          <w:bCs/>
          <w:color w:val="auto"/>
          <w:sz w:val="36"/>
          <w:szCs w:val="30"/>
          <w:highlight w:val="none"/>
        </w:rPr>
        <w:t>响应文件编制要求</w:t>
      </w:r>
      <w:bookmarkEnd w:id="245"/>
      <w:bookmarkEnd w:id="246"/>
      <w:bookmarkEnd w:id="247"/>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一、经济部分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（一）竞争性比选报价函（格式）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（一）服务方案自行编制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宋体" w:hAnsi="宋体" w:eastAsia="宋体" w:cs="宋体"/>
          <w:color w:val="auto"/>
          <w:sz w:val="24"/>
          <w:szCs w:val="24"/>
          <w:highlight w:val="none"/>
        </w:rPr>
        <w:t>其他</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8"/>
          <w:highlight w:val="none"/>
          <w:lang w:eastAsia="zh-CN"/>
        </w:rPr>
        <w:t>（格式自拟）</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（二）其它资料或承诺（自附）</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四、资格条件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）特定资格条件证书或证明文件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w:t>
      </w: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highlight w:val="none"/>
        </w:rPr>
      </w:pPr>
      <w:bookmarkStart w:id="248" w:name="_Toc106030906"/>
      <w:bookmarkEnd w:id="248"/>
      <w:bookmarkStart w:id="249" w:name="_Toc76462350"/>
      <w:bookmarkEnd w:id="249"/>
      <w:bookmarkStart w:id="250" w:name="_Toc342913419"/>
      <w:bookmarkEnd w:id="250"/>
      <w:bookmarkStart w:id="251" w:name="_Toc313888360"/>
      <w:bookmarkEnd w:id="251"/>
      <w:bookmarkStart w:id="252" w:name="_Toc11543"/>
      <w:bookmarkEnd w:id="252"/>
      <w:bookmarkStart w:id="253" w:name="_Toc313008356"/>
      <w:bookmarkEnd w:id="253"/>
      <w:bookmarkStart w:id="254" w:name="_Toc22083"/>
      <w:bookmarkStart w:id="255" w:name="_Toc15372"/>
      <w:r>
        <w:rPr>
          <w:rFonts w:hint="eastAsia" w:asciiTheme="minorEastAsia" w:hAnsiTheme="minorEastAsia" w:eastAsiaTheme="minorEastAsia" w:cstheme="minorEastAsia"/>
          <w:color w:val="auto"/>
          <w:sz w:val="24"/>
          <w:highlight w:val="none"/>
        </w:rPr>
        <w:br w:type="page"/>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56" w:name="_Toc28503"/>
      <w:r>
        <w:rPr>
          <w:rFonts w:hint="eastAsia" w:asciiTheme="minorEastAsia" w:hAnsiTheme="minorEastAsia" w:eastAsiaTheme="minorEastAsia" w:cstheme="minorEastAsia"/>
          <w:color w:val="auto"/>
          <w:sz w:val="24"/>
          <w:highlight w:val="none"/>
        </w:rPr>
        <w:t>一、经济部分</w:t>
      </w:r>
      <w:bookmarkEnd w:id="254"/>
      <w:bookmarkEnd w:id="255"/>
      <w:bookmarkEnd w:id="256"/>
    </w:p>
    <w:p>
      <w:pPr>
        <w:jc w:val="center"/>
        <w:rPr>
          <w:rFonts w:hint="eastAsia" w:asciiTheme="minorEastAsia" w:hAnsiTheme="minorEastAsia" w:eastAsiaTheme="minorEastAsia" w:cstheme="minorEastAsia"/>
          <w:b/>
          <w:color w:val="auto"/>
          <w:szCs w:val="28"/>
          <w:highlight w:val="none"/>
        </w:rPr>
      </w:pPr>
    </w:p>
    <w:p>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（一）竞争性比选报价函（格式）</w:t>
      </w:r>
    </w:p>
    <w:p>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比选代理机构</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我方收到____________________________（项目名称）的竞争性比选文件，经详细研究，决定参加该项目的比选。</w:t>
      </w:r>
    </w:p>
    <w:p>
      <w:pPr>
        <w:tabs>
          <w:tab w:val="left" w:pos="6300"/>
        </w:tabs>
        <w:snapToGrid w:val="0"/>
        <w:spacing w:line="312" w:lineRule="auto"/>
        <w:ind w:firstLine="480" w:firstLineChars="20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1.愿意按照竞争性比选文件中的一切要求，提供本项目</w:t>
      </w:r>
      <w:r>
        <w:rPr>
          <w:rFonts w:hint="eastAsia" w:asciiTheme="minorEastAsia" w:hAnsiTheme="minorEastAsia" w:eastAsiaTheme="minorEastAsia" w:cstheme="minorEastAsia"/>
          <w:color w:val="auto"/>
          <w:sz w:val="24"/>
          <w:szCs w:val="24"/>
          <w:highlight w:val="none"/>
          <w:lang w:val="en-US" w:eastAsia="zh-CN"/>
        </w:rPr>
        <w:t>所要求的</w:t>
      </w:r>
      <w:r>
        <w:rPr>
          <w:rFonts w:hint="eastAsia" w:asciiTheme="minorEastAsia" w:hAnsiTheme="minorEastAsia" w:eastAsiaTheme="minorEastAsia" w:cstheme="minorEastAsia"/>
          <w:color w:val="auto"/>
          <w:sz w:val="24"/>
          <w:szCs w:val="24"/>
          <w:highlight w:val="none"/>
        </w:rPr>
        <w:t>服务，比选</w:t>
      </w:r>
      <w:r>
        <w:rPr>
          <w:rFonts w:hint="eastAsia" w:asciiTheme="minorEastAsia" w:hAnsiTheme="minorEastAsia" w:eastAsiaTheme="minorEastAsia" w:cstheme="minorEastAsia"/>
          <w:b w:val="0"/>
          <w:bCs w:val="0"/>
          <w:color w:val="auto"/>
          <w:sz w:val="24"/>
          <w:szCs w:val="24"/>
          <w:highlight w:val="none"/>
        </w:rPr>
        <w:t>报价</w:t>
      </w:r>
      <w:r>
        <w:rPr>
          <w:rFonts w:hint="eastAsia" w:asciiTheme="minorEastAsia" w:hAnsiTheme="minorEastAsia" w:eastAsiaTheme="minorEastAsia" w:cstheme="minorEastAsia"/>
          <w:b w:val="0"/>
          <w:bCs w:val="0"/>
          <w:color w:val="auto"/>
          <w:sz w:val="24"/>
          <w:szCs w:val="24"/>
          <w:highlight w:val="none"/>
          <w:lang w:eastAsia="zh-CN"/>
        </w:rPr>
        <w:t>：</w:t>
      </w:r>
    </w:p>
    <w:tbl>
      <w:tblPr>
        <w:tblStyle w:val="61"/>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778"/>
        <w:gridCol w:w="2158"/>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64" w:type="dxa"/>
            <w:vAlign w:val="center"/>
          </w:tcPr>
          <w:p>
            <w:pPr>
              <w:tabs>
                <w:tab w:val="left" w:pos="6300"/>
              </w:tabs>
              <w:snapToGrid w:val="0"/>
              <w:spacing w:line="36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经营</w:t>
            </w:r>
            <w:r>
              <w:rPr>
                <w:rFonts w:hint="eastAsia" w:ascii="宋体" w:hAnsi="宋体" w:cs="宋体"/>
                <w:b/>
                <w:bCs/>
                <w:color w:val="auto"/>
                <w:sz w:val="24"/>
                <w:szCs w:val="24"/>
                <w:highlight w:val="none"/>
              </w:rPr>
              <w:t>区域</w:t>
            </w:r>
          </w:p>
        </w:tc>
        <w:tc>
          <w:tcPr>
            <w:tcW w:w="8228" w:type="dxa"/>
            <w:gridSpan w:val="3"/>
            <w:vAlign w:val="center"/>
          </w:tcPr>
          <w:p>
            <w:pPr>
              <w:tabs>
                <w:tab w:val="left" w:pos="6300"/>
              </w:tabs>
              <w:snapToGrid w:val="0"/>
              <w:spacing w:line="360" w:lineRule="auto"/>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合作</w:t>
            </w:r>
            <w:r>
              <w:rPr>
                <w:rFonts w:hint="eastAsia" w:ascii="宋体" w:hAnsi="宋体" w:cs="宋体"/>
                <w:b/>
                <w:bCs/>
                <w:color w:val="auto"/>
                <w:sz w:val="24"/>
                <w:szCs w:val="24"/>
                <w:highlight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64" w:type="dxa"/>
            <w:vMerge w:val="restart"/>
            <w:vAlign w:val="center"/>
          </w:tcPr>
          <w:p>
            <w:pPr>
              <w:tabs>
                <w:tab w:val="left" w:pos="6300"/>
              </w:tabs>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现代园林展区里的湿地花谷</w:t>
            </w:r>
          </w:p>
        </w:tc>
        <w:tc>
          <w:tcPr>
            <w:tcW w:w="3936" w:type="dxa"/>
            <w:gridSpan w:val="2"/>
            <w:vAlign w:val="center"/>
          </w:tcPr>
          <w:p>
            <w:pPr>
              <w:tabs>
                <w:tab w:val="left" w:pos="6300"/>
              </w:tabs>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营业额</w:t>
            </w:r>
            <w:r>
              <w:rPr>
                <w:rFonts w:hint="eastAsia" w:ascii="宋体" w:hAnsi="宋体" w:cs="宋体"/>
                <w:color w:val="auto"/>
                <w:sz w:val="24"/>
                <w:szCs w:val="24"/>
                <w:highlight w:val="none"/>
              </w:rPr>
              <w:t>分成比例报价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p>
        </w:tc>
        <w:tc>
          <w:tcPr>
            <w:tcW w:w="4292" w:type="dxa"/>
            <w:vMerge w:val="restart"/>
            <w:vAlign w:val="center"/>
          </w:tcPr>
          <w:p>
            <w:pPr>
              <w:tabs>
                <w:tab w:val="left" w:pos="6300"/>
              </w:tabs>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保底营业额</w:t>
            </w:r>
          </w:p>
          <w:p>
            <w:pPr>
              <w:tabs>
                <w:tab w:val="left" w:pos="6300"/>
              </w:tabs>
              <w:snapToGrid w:val="0"/>
              <w:spacing w:line="360" w:lineRule="auto"/>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万</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364" w:type="dxa"/>
            <w:vMerge w:val="continue"/>
            <w:vAlign w:val="center"/>
          </w:tcPr>
          <w:p>
            <w:pPr>
              <w:tabs>
                <w:tab w:val="left" w:pos="6300"/>
              </w:tabs>
              <w:snapToGrid w:val="0"/>
              <w:spacing w:line="360" w:lineRule="auto"/>
              <w:ind w:firstLine="480" w:firstLineChars="200"/>
              <w:jc w:val="center"/>
              <w:rPr>
                <w:rFonts w:hint="default" w:ascii="宋体" w:hAnsi="宋体" w:cs="宋体"/>
                <w:color w:val="auto"/>
                <w:sz w:val="24"/>
                <w:szCs w:val="24"/>
                <w:highlight w:val="none"/>
              </w:rPr>
            </w:pPr>
          </w:p>
        </w:tc>
        <w:tc>
          <w:tcPr>
            <w:tcW w:w="1778" w:type="dxa"/>
            <w:vAlign w:val="center"/>
          </w:tcPr>
          <w:p>
            <w:pPr>
              <w:tabs>
                <w:tab w:val="left" w:pos="6300"/>
              </w:tabs>
              <w:snapToGrid w:val="0"/>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比选人</w:t>
            </w:r>
            <w:r>
              <w:rPr>
                <w:rFonts w:hint="eastAsia" w:ascii="宋体" w:hAnsi="宋体" w:cs="宋体"/>
                <w:color w:val="auto"/>
                <w:sz w:val="24"/>
                <w:szCs w:val="24"/>
                <w:highlight w:val="none"/>
              </w:rPr>
              <w:t>占比</w:t>
            </w:r>
          </w:p>
        </w:tc>
        <w:tc>
          <w:tcPr>
            <w:tcW w:w="2158" w:type="dxa"/>
            <w:vAlign w:val="center"/>
          </w:tcPr>
          <w:p>
            <w:pPr>
              <w:tabs>
                <w:tab w:val="left" w:pos="6300"/>
              </w:tabs>
              <w:snapToGrid w:val="0"/>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占比</w:t>
            </w:r>
          </w:p>
        </w:tc>
        <w:tc>
          <w:tcPr>
            <w:tcW w:w="4292" w:type="dxa"/>
            <w:vMerge w:val="continue"/>
            <w:vAlign w:val="center"/>
          </w:tcPr>
          <w:p>
            <w:pPr>
              <w:tabs>
                <w:tab w:val="left" w:pos="6300"/>
              </w:tabs>
              <w:snapToGrid w:val="0"/>
              <w:spacing w:line="360" w:lineRule="auto"/>
              <w:ind w:firstLine="480" w:firstLineChars="20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364" w:type="dxa"/>
            <w:vMerge w:val="continue"/>
            <w:vAlign w:val="center"/>
          </w:tcPr>
          <w:p>
            <w:pPr>
              <w:tabs>
                <w:tab w:val="left" w:pos="6300"/>
              </w:tabs>
              <w:snapToGrid w:val="0"/>
              <w:spacing w:line="360" w:lineRule="auto"/>
              <w:ind w:firstLine="480" w:firstLineChars="200"/>
              <w:jc w:val="center"/>
              <w:rPr>
                <w:rFonts w:hint="default" w:ascii="宋体" w:hAnsi="宋体" w:cs="宋体"/>
                <w:color w:val="auto"/>
                <w:sz w:val="24"/>
                <w:szCs w:val="24"/>
                <w:highlight w:val="none"/>
                <w:lang w:val="en-US" w:eastAsia="zh-CN"/>
              </w:rPr>
            </w:pPr>
          </w:p>
        </w:tc>
        <w:tc>
          <w:tcPr>
            <w:tcW w:w="1778" w:type="dxa"/>
            <w:vAlign w:val="center"/>
          </w:tcPr>
          <w:p>
            <w:pPr>
              <w:tabs>
                <w:tab w:val="left" w:pos="6300"/>
              </w:tabs>
              <w:snapToGrid w:val="0"/>
              <w:spacing w:line="360" w:lineRule="auto"/>
              <w:ind w:firstLine="480" w:firstLineChars="200"/>
              <w:jc w:val="center"/>
              <w:rPr>
                <w:rFonts w:hint="default" w:ascii="宋体" w:hAnsi="宋体" w:cs="宋体"/>
                <w:color w:val="auto"/>
                <w:sz w:val="24"/>
                <w:szCs w:val="24"/>
                <w:highlight w:val="none"/>
              </w:rPr>
            </w:pPr>
          </w:p>
        </w:tc>
        <w:tc>
          <w:tcPr>
            <w:tcW w:w="2158" w:type="dxa"/>
            <w:vAlign w:val="center"/>
          </w:tcPr>
          <w:p>
            <w:pPr>
              <w:tabs>
                <w:tab w:val="left" w:pos="6300"/>
              </w:tabs>
              <w:snapToGrid w:val="0"/>
              <w:spacing w:line="360" w:lineRule="auto"/>
              <w:ind w:firstLine="480" w:firstLineChars="200"/>
              <w:jc w:val="center"/>
              <w:rPr>
                <w:rFonts w:hint="default" w:ascii="宋体" w:hAnsi="宋体" w:cs="宋体"/>
                <w:color w:val="auto"/>
                <w:sz w:val="24"/>
                <w:szCs w:val="24"/>
                <w:highlight w:val="none"/>
              </w:rPr>
            </w:pPr>
          </w:p>
        </w:tc>
        <w:tc>
          <w:tcPr>
            <w:tcW w:w="4292" w:type="dxa"/>
            <w:vAlign w:val="center"/>
          </w:tcPr>
          <w:p>
            <w:pPr>
              <w:tabs>
                <w:tab w:val="left" w:pos="6300"/>
              </w:tabs>
              <w:snapToGrid w:val="0"/>
              <w:spacing w:line="360" w:lineRule="auto"/>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364" w:type="dxa"/>
            <w:vAlign w:val="center"/>
          </w:tcPr>
          <w:p>
            <w:pPr>
              <w:tabs>
                <w:tab w:val="left" w:pos="6300"/>
              </w:tabs>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8228" w:type="dxa"/>
            <w:gridSpan w:val="3"/>
            <w:vAlign w:val="center"/>
          </w:tcPr>
          <w:p>
            <w:pPr>
              <w:tabs>
                <w:tab w:val="left" w:pos="6300"/>
              </w:tabs>
              <w:snapToGrid w:val="0"/>
              <w:spacing w:line="312" w:lineRule="auto"/>
              <w:jc w:val="left"/>
              <w:rPr>
                <w:rFonts w:hint="default"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我方比选报价为闭口价。即在比选有效期和合同有效期内，该报价固定不变。</w:t>
            </w:r>
          </w:p>
        </w:tc>
      </w:tr>
    </w:tbl>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电子文档</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份</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的有效期为提交响应文件截止时间起90天。</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4.我方完全理解和接受贵方竞争性比选文件的一切规定和要求及评审办法。</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5.在整个竞争性比选过程中，我方若有违规行为，接受按照《中华人民共和国政府采购法》和本项目《竞争性比选文件》之规定给予惩罚。</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，将按照成交结果签订合同，并且严格履行合同义务。本承诺函将成为合同不可分割的一部分，与合同具有同等的法律效力。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，保证在接到成交通知书后，向</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竞争性比选文件规定的采购代理服务费。</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pStyle w:val="2"/>
        <w:rPr>
          <w:rFonts w:hint="eastAsia" w:asciiTheme="minorEastAsia" w:hAnsiTheme="minorEastAsia" w:eastAsiaTheme="minorEastAsia" w:cstheme="minorEastAsia"/>
          <w:color w:val="auto"/>
          <w:sz w:val="24"/>
          <w:szCs w:val="24"/>
          <w:highlight w:val="none"/>
        </w:rPr>
      </w:pPr>
    </w:p>
    <w:p>
      <w:pPr>
        <w:pStyle w:val="80"/>
        <w:rPr>
          <w:rFonts w:hint="eastAsia" w:asciiTheme="minorEastAsia" w:hAnsiTheme="minorEastAsia" w:eastAsiaTheme="minorEastAsia" w:cstheme="minorEastAsia"/>
          <w:color w:val="auto"/>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57" w:name="_Toc313888361"/>
      <w:bookmarkEnd w:id="257"/>
      <w:bookmarkStart w:id="258" w:name="_Toc342913420"/>
      <w:bookmarkEnd w:id="258"/>
      <w:bookmarkStart w:id="259" w:name="_Toc29766"/>
      <w:bookmarkEnd w:id="259"/>
      <w:bookmarkStart w:id="260" w:name="_Toc106030907"/>
      <w:bookmarkEnd w:id="260"/>
      <w:bookmarkStart w:id="261" w:name="_Toc76462351"/>
      <w:bookmarkEnd w:id="261"/>
      <w:bookmarkStart w:id="262" w:name="_Toc313008357"/>
      <w:bookmarkEnd w:id="262"/>
      <w:bookmarkStart w:id="263" w:name="_Toc2697"/>
      <w:bookmarkStart w:id="264" w:name="_Toc12737"/>
      <w:bookmarkStart w:id="265" w:name="_Toc32546"/>
      <w:r>
        <w:rPr>
          <w:rFonts w:hint="eastAsia" w:asciiTheme="minorEastAsia" w:hAnsiTheme="minorEastAsia" w:eastAsiaTheme="minorEastAsia" w:cstheme="minorEastAsia"/>
          <w:color w:val="auto"/>
          <w:sz w:val="24"/>
          <w:highlight w:val="none"/>
        </w:rPr>
        <w:t>二、服务部分</w:t>
      </w:r>
      <w:bookmarkEnd w:id="263"/>
      <w:bookmarkEnd w:id="264"/>
      <w:bookmarkEnd w:id="265"/>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（一）服务方案自行编制</w:t>
      </w:r>
      <w:bookmarkStart w:id="266" w:name="_Toc342913421"/>
      <w:bookmarkEnd w:id="266"/>
      <w:bookmarkStart w:id="267" w:name="_Toc106030908"/>
      <w:bookmarkEnd w:id="267"/>
      <w:bookmarkStart w:id="268" w:name="_Toc30533"/>
      <w:bookmarkEnd w:id="268"/>
      <w:bookmarkStart w:id="269" w:name="_Toc313888362"/>
      <w:bookmarkEnd w:id="269"/>
      <w:bookmarkStart w:id="270" w:name="_Toc313008358"/>
      <w:bookmarkEnd w:id="270"/>
      <w:bookmarkStart w:id="271" w:name="_Toc76462352"/>
      <w:bookmarkEnd w:id="271"/>
    </w:p>
    <w:p>
      <w:pPr>
        <w:pStyle w:val="4"/>
        <w:adjustRightInd w:val="0"/>
        <w:snapToGrid w:val="0"/>
        <w:spacing w:before="0" w:after="0" w:line="400" w:lineRule="exact"/>
        <w:ind w:firstLine="640" w:firstLineChars="200"/>
        <w:rPr>
          <w:rFonts w:hint="eastAsia" w:asciiTheme="minorEastAsia" w:hAnsiTheme="minorEastAsia" w:eastAsiaTheme="minorEastAsia" w:cstheme="minorEastAsia"/>
          <w:b w:val="0"/>
          <w:color w:val="auto"/>
          <w:highlight w:val="none"/>
        </w:rPr>
      </w:pPr>
    </w:p>
    <w:p>
      <w:pPr>
        <w:pStyle w:val="4"/>
        <w:adjustRightInd w:val="0"/>
        <w:snapToGrid w:val="0"/>
        <w:spacing w:before="0" w:after="0" w:line="400" w:lineRule="exact"/>
        <w:ind w:firstLine="640" w:firstLineChars="200"/>
        <w:rPr>
          <w:rFonts w:hint="eastAsia" w:asciiTheme="minorEastAsia" w:hAnsiTheme="minorEastAsia" w:eastAsiaTheme="minorEastAsia" w:cstheme="minorEastAsia"/>
          <w:b w:val="0"/>
          <w:color w:val="auto"/>
          <w:highlight w:val="none"/>
        </w:rPr>
      </w:pPr>
    </w:p>
    <w:p>
      <w:pPr>
        <w:adjustRightInd w:val="0"/>
        <w:snapToGrid w:val="0"/>
        <w:spacing w:line="40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（二）服务条款响应</w:t>
      </w:r>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提醒：具体内容以及具体内容的位置（页码）</w:t>
            </w: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bl>
    <w:p>
      <w:pPr>
        <w:rPr>
          <w:rFonts w:hint="eastAsia" w:asciiTheme="minorEastAsia" w:hAnsiTheme="minorEastAsia" w:eastAsiaTheme="minorEastAsia" w:cstheme="minorEastAsia"/>
          <w:color w:val="auto"/>
          <w:highlight w:val="none"/>
        </w:rPr>
      </w:pPr>
    </w:p>
    <w:p>
      <w:pP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法定代表人或法定代表人授权代表：</w:t>
      </w:r>
    </w:p>
    <w:p>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（公章）                                     （签字或盖章）</w:t>
      </w:r>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16"/>
          <w:highlight w:val="none"/>
        </w:rPr>
        <w:t xml:space="preserve"> </w:t>
      </w:r>
      <w:bookmarkStart w:id="272" w:name="_Toc29373"/>
      <w:r>
        <w:rPr>
          <w:rFonts w:hint="eastAsia" w:asciiTheme="minorEastAsia" w:hAnsiTheme="minorEastAsia" w:eastAsiaTheme="minorEastAsia" w:cstheme="minorEastAsia"/>
          <w:bCs/>
          <w:color w:val="auto"/>
          <w:sz w:val="24"/>
          <w:szCs w:val="16"/>
          <w:highlight w:val="none"/>
        </w:rPr>
        <w:t>年     月     日</w:t>
      </w:r>
      <w:bookmarkEnd w:id="272"/>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1.本表即为对本项目“第二篇项目服务需求”中所列条款进行比较和响应；</w:t>
      </w:r>
    </w:p>
    <w:p>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2.本表可扩展。</w:t>
      </w: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宋体" w:hAnsi="宋体" w:eastAsia="宋体" w:cs="宋体"/>
          <w:color w:val="auto"/>
          <w:sz w:val="24"/>
          <w:szCs w:val="24"/>
          <w:highlight w:val="none"/>
        </w:rPr>
        <w:t>其他</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8"/>
          <w:highlight w:val="none"/>
          <w:lang w:eastAsia="zh-CN"/>
        </w:rPr>
        <w:t>（格式自拟）</w:t>
      </w:r>
    </w:p>
    <w:p>
      <w:pPr>
        <w:rPr>
          <w:rFonts w:hint="eastAsia" w:asciiTheme="minorEastAsia" w:hAnsiTheme="minorEastAsia" w:eastAsiaTheme="minorEastAsia" w:cstheme="minorEastAsia"/>
          <w:color w:val="auto"/>
          <w:sz w:val="24"/>
          <w:szCs w:val="24"/>
          <w:highlight w:val="none"/>
        </w:rPr>
      </w:pPr>
    </w:p>
    <w:p>
      <w:pPr>
        <w:pStyle w:val="4"/>
        <w:numPr>
          <w:ilvl w:val="255"/>
          <w:numId w:val="0"/>
        </w:numPr>
        <w:adjustRightInd w:val="0"/>
        <w:snapToGrid w:val="0"/>
        <w:spacing w:before="0" w:after="0" w:line="400" w:lineRule="exact"/>
        <w:rPr>
          <w:rFonts w:hint="eastAsia" w:asciiTheme="minorEastAsia" w:hAnsiTheme="minorEastAsia" w:eastAsiaTheme="minorEastAsia" w:cstheme="minorEastAsia"/>
          <w:b w:val="0"/>
          <w:color w:val="auto"/>
          <w:highlight w:val="none"/>
        </w:rPr>
      </w:pPr>
    </w:p>
    <w:p>
      <w:pPr>
        <w:pStyle w:val="4"/>
        <w:numPr>
          <w:ilvl w:val="255"/>
          <w:numId w:val="0"/>
        </w:numPr>
        <w:adjustRightInd w:val="0"/>
        <w:snapToGrid w:val="0"/>
        <w:spacing w:before="0" w:after="0"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color w:val="auto"/>
          <w:highlight w:val="none"/>
        </w:rPr>
        <w:br w:type="page"/>
      </w:r>
      <w:bookmarkStart w:id="273" w:name="_Toc16652"/>
      <w:bookmarkStart w:id="274" w:name="_Toc10532"/>
      <w:bookmarkStart w:id="275" w:name="_Toc25678"/>
      <w:r>
        <w:rPr>
          <w:rFonts w:hint="eastAsia" w:asciiTheme="minorEastAsia" w:hAnsiTheme="minorEastAsia" w:eastAsiaTheme="minorEastAsia" w:cstheme="minorEastAsia"/>
          <w:color w:val="auto"/>
          <w:sz w:val="24"/>
          <w:highlight w:val="none"/>
        </w:rPr>
        <w:t>三、商务部分</w:t>
      </w:r>
      <w:bookmarkEnd w:id="273"/>
      <w:bookmarkEnd w:id="274"/>
      <w:bookmarkEnd w:id="275"/>
    </w:p>
    <w:p>
      <w:pPr>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bookmarkStart w:id="276" w:name="_Toc283382459"/>
      <w:r>
        <w:rPr>
          <w:rFonts w:hint="eastAsia" w:asciiTheme="minorEastAsia" w:hAnsiTheme="minorEastAsia" w:eastAsiaTheme="minorEastAsia" w:cstheme="minorEastAsia"/>
          <w:color w:val="auto"/>
          <w:sz w:val="24"/>
          <w:szCs w:val="24"/>
          <w:highlight w:val="none"/>
        </w:rPr>
        <w:t>（一）商务条款响应</w:t>
      </w: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提醒：具体内容以及具体内容的位置（页码）</w:t>
            </w: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bl>
    <w:p>
      <w:pP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法定代表人或法定代表人授权代表：</w:t>
      </w:r>
    </w:p>
    <w:p>
      <w:pPr>
        <w:spacing w:line="500" w:lineRule="exact"/>
        <w:rPr>
          <w:rFonts w:hint="eastAsia" w:asciiTheme="minorEastAsia" w:hAnsiTheme="minorEastAsia" w:eastAsiaTheme="minorEastAsia" w:cstheme="minorEastAsia"/>
          <w:color w:val="auto"/>
          <w:sz w:val="24"/>
          <w:szCs w:val="24"/>
          <w:highlight w:val="none"/>
        </w:rPr>
      </w:pPr>
    </w:p>
    <w:p>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（公章）                                  （签字或盖章）</w:t>
      </w:r>
    </w:p>
    <w:p>
      <w:pPr>
        <w:spacing w:line="5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tabs>
          <w:tab w:val="left" w:pos="6300"/>
        </w:tabs>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1.本表即为对本项目“第三篇项目商务需求”中所列条款进行比较和响应；</w:t>
      </w:r>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2.本表可扩展。</w:t>
      </w:r>
      <w:r>
        <w:rPr>
          <w:rFonts w:hint="eastAsia" w:asciiTheme="minorEastAsia" w:hAnsiTheme="minorEastAsia" w:eastAsiaTheme="minorEastAsia" w:cstheme="minorEastAsia"/>
          <w:color w:val="auto"/>
          <w:sz w:val="24"/>
          <w:szCs w:val="24"/>
          <w:highlight w:val="none"/>
        </w:rPr>
        <w:br w:type="page"/>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（二）其它资料或承诺（自附）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276"/>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77" w:name="_Toc28692"/>
      <w:bookmarkEnd w:id="277"/>
      <w:bookmarkStart w:id="278" w:name="_Toc342913422"/>
      <w:bookmarkEnd w:id="278"/>
      <w:bookmarkStart w:id="279" w:name="_Toc313008359"/>
      <w:bookmarkEnd w:id="279"/>
      <w:bookmarkStart w:id="280" w:name="_Toc76462353"/>
      <w:bookmarkEnd w:id="280"/>
      <w:bookmarkStart w:id="281" w:name="_Toc106030909"/>
      <w:bookmarkEnd w:id="281"/>
      <w:bookmarkStart w:id="282" w:name="_Toc313888363"/>
      <w:bookmarkEnd w:id="282"/>
      <w:r>
        <w:rPr>
          <w:rFonts w:hint="eastAsia" w:asciiTheme="minorEastAsia" w:hAnsiTheme="minorEastAsia" w:eastAsiaTheme="minorEastAsia" w:cstheme="minorEastAsia"/>
          <w:color w:val="auto"/>
          <w:sz w:val="24"/>
          <w:szCs w:val="24"/>
          <w:highlight w:val="none"/>
        </w:rPr>
        <w:br w:type="page"/>
      </w:r>
      <w:bookmarkStart w:id="283" w:name="_Toc23338"/>
      <w:bookmarkStart w:id="284" w:name="_Toc8039"/>
      <w:bookmarkStart w:id="285" w:name="_Toc17631"/>
      <w:r>
        <w:rPr>
          <w:rFonts w:hint="eastAsia" w:asciiTheme="minorEastAsia" w:hAnsiTheme="minorEastAsia" w:eastAsiaTheme="minorEastAsia" w:cstheme="minorEastAsia"/>
          <w:color w:val="auto"/>
          <w:sz w:val="24"/>
          <w:highlight w:val="none"/>
        </w:rPr>
        <w:t>四、资格条件</w:t>
      </w:r>
      <w:bookmarkEnd w:id="283"/>
      <w:bookmarkEnd w:id="284"/>
      <w:bookmarkEnd w:id="285"/>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名称）：</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项目名称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1.若为法定代表人办理并签署响应文件的，不提供此文件。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项目评审（评标）环节结束后，随时接受</w:t>
      </w:r>
      <w:r>
        <w:rPr>
          <w:rFonts w:hint="eastAsia" w:asciiTheme="minorEastAsia" w:hAnsiTheme="minorEastAsia" w:eastAsiaTheme="minorEastAsia" w:cstheme="minorEastAsia"/>
          <w:color w:val="auto"/>
          <w:sz w:val="24"/>
          <w:highlight w:val="none"/>
          <w:lang w:eastAsia="zh-CN"/>
        </w:rPr>
        <w:t>比选人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p>
    <w:p>
      <w:pPr>
        <w:pStyle w:val="4"/>
        <w:adjustRightInd w:val="0"/>
        <w:snapToGrid w:val="0"/>
        <w:spacing w:before="0" w:after="0" w:line="400" w:lineRule="exact"/>
        <w:ind w:firstLine="480" w:firstLineChars="200"/>
        <w:rPr>
          <w:rFonts w:hint="eastAsia" w:asciiTheme="minorEastAsia" w:hAnsiTheme="minorEastAsia" w:eastAsiaTheme="minorEastAsia" w:cstheme="minorEastAsia"/>
          <w:b w:val="0"/>
          <w:color w:val="auto"/>
          <w:sz w:val="24"/>
          <w:szCs w:val="24"/>
          <w:highlight w:val="none"/>
        </w:rPr>
      </w:pPr>
      <w:bookmarkStart w:id="286" w:name="_Toc14422"/>
      <w:bookmarkEnd w:id="286"/>
      <w:bookmarkStart w:id="287" w:name="_Toc106030910"/>
      <w:bookmarkEnd w:id="287"/>
      <w:bookmarkStart w:id="288" w:name="_Toc76462354"/>
      <w:bookmarkEnd w:id="288"/>
      <w:bookmarkStart w:id="289" w:name="_Toc7667"/>
      <w:bookmarkEnd w:id="289"/>
      <w:bookmarkStart w:id="290" w:name="_Toc13702"/>
      <w:bookmarkStart w:id="291" w:name="_Toc27884"/>
      <w:bookmarkStart w:id="292" w:name="_Toc18881"/>
      <w:r>
        <w:rPr>
          <w:rFonts w:hint="eastAsia" w:asciiTheme="minorEastAsia" w:hAnsiTheme="minorEastAsia" w:eastAsiaTheme="minorEastAsia" w:cstheme="minorEastAsia"/>
          <w:b w:val="0"/>
          <w:color w:val="auto"/>
          <w:sz w:val="24"/>
          <w:szCs w:val="24"/>
          <w:highlight w:val="none"/>
          <w:lang w:eastAsia="zh-CN"/>
        </w:rPr>
        <w:t>（</w:t>
      </w:r>
      <w:r>
        <w:rPr>
          <w:rFonts w:hint="eastAsia" w:asciiTheme="minorEastAsia" w:hAnsiTheme="minorEastAsia" w:eastAsiaTheme="minorEastAsia" w:cstheme="minorEastAsia"/>
          <w:b w:val="0"/>
          <w:color w:val="auto"/>
          <w:sz w:val="24"/>
          <w:szCs w:val="24"/>
          <w:highlight w:val="none"/>
          <w:lang w:val="en-US" w:eastAsia="zh-CN"/>
        </w:rPr>
        <w:t>五</w:t>
      </w:r>
      <w:r>
        <w:rPr>
          <w:rFonts w:hint="eastAsia" w:asciiTheme="minorEastAsia" w:hAnsiTheme="minorEastAsia" w:eastAsiaTheme="minorEastAsia" w:cstheme="minorEastAsia"/>
          <w:b w:val="0"/>
          <w:color w:val="auto"/>
          <w:sz w:val="24"/>
          <w:szCs w:val="24"/>
          <w:highlight w:val="none"/>
          <w:lang w:eastAsia="zh-CN"/>
        </w:rPr>
        <w:t>）特定资格条件证书或证明文件</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color w:val="auto"/>
          <w:highlight w:val="none"/>
        </w:rPr>
      </w:pP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五、其他资料</w:t>
      </w:r>
      <w:bookmarkEnd w:id="290"/>
      <w:bookmarkEnd w:id="291"/>
      <w:bookmarkEnd w:id="292"/>
    </w:p>
    <w:p>
      <w:pP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其他与项目有关的资料（自附）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比选保证金汇款凭证、</w:t>
      </w:r>
      <w:r>
        <w:rPr>
          <w:rFonts w:hint="eastAsia" w:ascii="宋体" w:hAnsi="宋体" w:cs="宋体"/>
          <w:color w:val="auto"/>
          <w:sz w:val="24"/>
          <w:szCs w:val="24"/>
          <w:highlight w:val="none"/>
        </w:rPr>
        <w:t>供应商总体情况介绍、</w:t>
      </w:r>
      <w:r>
        <w:rPr>
          <w:rFonts w:hint="eastAsia" w:ascii="宋体" w:hAnsi="宋体" w:cs="宋体"/>
          <w:color w:val="auto"/>
          <w:sz w:val="24"/>
          <w:szCs w:val="24"/>
          <w:highlight w:val="none"/>
          <w:lang w:val="en-US" w:eastAsia="zh-CN"/>
        </w:rPr>
        <w:t>信用中国企业报告、</w:t>
      </w:r>
      <w:r>
        <w:rPr>
          <w:rFonts w:hint="eastAsia" w:ascii="宋体" w:hAnsi="宋体" w:cs="宋体"/>
          <w:color w:val="auto"/>
          <w:sz w:val="24"/>
          <w:szCs w:val="24"/>
          <w:highlight w:val="none"/>
        </w:rPr>
        <w:t>其他与本项目有关的资料等</w:t>
      </w: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highlight w:val="none"/>
        </w:rPr>
      </w:pPr>
    </w:p>
    <w:p>
      <w:pPr>
        <w:spacing w:line="360" w:lineRule="auto"/>
        <w:ind w:firstLine="480" w:firstLineChars="200"/>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（结束）</w:t>
      </w:r>
    </w:p>
    <w:p>
      <w:pPr>
        <w:rPr>
          <w:rFonts w:hint="eastAsia" w:asciiTheme="minorEastAsia" w:hAnsiTheme="minorEastAsia" w:eastAsiaTheme="minorEastAsia" w:cstheme="minorEastAsia"/>
          <w:color w:val="auto"/>
          <w:sz w:val="24"/>
          <w:szCs w:val="24"/>
          <w:highlight w:val="none"/>
        </w:rPr>
      </w:pPr>
    </w:p>
    <w:sectPr>
      <w:headerReference r:id="rId9" w:type="default"/>
      <w:footerReference r:id="rId10"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1" w:fontKey="{81D97F5C-89A0-47DB-8FC6-8EF83CFA6BB7}"/>
  </w:font>
  <w:font w:name="微软雅黑">
    <w:panose1 w:val="020B0503020204020204"/>
    <w:charset w:val="86"/>
    <w:family w:val="auto"/>
    <w:pitch w:val="default"/>
    <w:sig w:usb0="80000287" w:usb1="2ACF3C50" w:usb2="00000016" w:usb3="00000000" w:csb0="0004001F" w:csb1="00000000"/>
    <w:embedRegular r:id="rId2" w:fontKey="{F48324B4-E2DD-47A4-A658-7A6EB7F2AE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4"/>
      </w:rPr>
    </w:pPr>
    <w:r>
      <w:fldChar w:fldCharType="begin"/>
    </w:r>
    <w:r>
      <w:rPr>
        <w:rStyle w:val="64"/>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4"/>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3" w:lineRule="auto"/>
      <w:ind w:left="1"/>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147B8"/>
    <w:multiLevelType w:val="singleLevel"/>
    <w:tmpl w:val="9CF147B8"/>
    <w:lvl w:ilvl="0" w:tentative="0">
      <w:start w:val="10"/>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9"/>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6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1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0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46"/>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ZTZlOTk5MGMzZWJkNTJhM2Y2M2Q3OTQ2YmVlMzQifQ=="/>
    <w:docVar w:name="KSO_WPS_MARK_KEY" w:val="99f1670f-16cf-40a7-8b3b-fd64ee338d96"/>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1B9"/>
    <w:rsid w:val="00061A7C"/>
    <w:rsid w:val="00063981"/>
    <w:rsid w:val="00074C38"/>
    <w:rsid w:val="000816AD"/>
    <w:rsid w:val="00082CC1"/>
    <w:rsid w:val="00090C5A"/>
    <w:rsid w:val="00091B1C"/>
    <w:rsid w:val="00091D22"/>
    <w:rsid w:val="0009494A"/>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20F"/>
    <w:rsid w:val="000E5AB0"/>
    <w:rsid w:val="000F302A"/>
    <w:rsid w:val="000F3D5B"/>
    <w:rsid w:val="000F64D7"/>
    <w:rsid w:val="000F7DBF"/>
    <w:rsid w:val="0010014A"/>
    <w:rsid w:val="00100639"/>
    <w:rsid w:val="0010088E"/>
    <w:rsid w:val="001028FD"/>
    <w:rsid w:val="00105638"/>
    <w:rsid w:val="0010716D"/>
    <w:rsid w:val="001125CE"/>
    <w:rsid w:val="001140DC"/>
    <w:rsid w:val="00114CFE"/>
    <w:rsid w:val="00115337"/>
    <w:rsid w:val="001166B8"/>
    <w:rsid w:val="0011683E"/>
    <w:rsid w:val="00116856"/>
    <w:rsid w:val="00116C42"/>
    <w:rsid w:val="0011780F"/>
    <w:rsid w:val="00117B26"/>
    <w:rsid w:val="00120259"/>
    <w:rsid w:val="00122F9D"/>
    <w:rsid w:val="0012452F"/>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55A1D"/>
    <w:rsid w:val="00156899"/>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6ADA"/>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073D"/>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52C8"/>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B621C"/>
    <w:rsid w:val="003D0E0A"/>
    <w:rsid w:val="003D3B22"/>
    <w:rsid w:val="003D7B3D"/>
    <w:rsid w:val="003E0348"/>
    <w:rsid w:val="003F3DB1"/>
    <w:rsid w:val="003F451E"/>
    <w:rsid w:val="003F4939"/>
    <w:rsid w:val="003F626F"/>
    <w:rsid w:val="003F6794"/>
    <w:rsid w:val="00402B32"/>
    <w:rsid w:val="00404E11"/>
    <w:rsid w:val="0040519F"/>
    <w:rsid w:val="0040781E"/>
    <w:rsid w:val="00410C93"/>
    <w:rsid w:val="004110DA"/>
    <w:rsid w:val="004115FB"/>
    <w:rsid w:val="00411B4A"/>
    <w:rsid w:val="004134DD"/>
    <w:rsid w:val="004148C8"/>
    <w:rsid w:val="00417E99"/>
    <w:rsid w:val="00421507"/>
    <w:rsid w:val="00424D02"/>
    <w:rsid w:val="0042525A"/>
    <w:rsid w:val="004260F1"/>
    <w:rsid w:val="0042733C"/>
    <w:rsid w:val="0044185A"/>
    <w:rsid w:val="0044193A"/>
    <w:rsid w:val="004508D7"/>
    <w:rsid w:val="00453B8F"/>
    <w:rsid w:val="004556B7"/>
    <w:rsid w:val="00460489"/>
    <w:rsid w:val="004608C7"/>
    <w:rsid w:val="00462878"/>
    <w:rsid w:val="00465B7A"/>
    <w:rsid w:val="00471121"/>
    <w:rsid w:val="00472AA2"/>
    <w:rsid w:val="00473B39"/>
    <w:rsid w:val="00474175"/>
    <w:rsid w:val="004751FC"/>
    <w:rsid w:val="00481309"/>
    <w:rsid w:val="00485B7C"/>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2A66"/>
    <w:rsid w:val="004D433D"/>
    <w:rsid w:val="004D4410"/>
    <w:rsid w:val="004E156F"/>
    <w:rsid w:val="004E2F88"/>
    <w:rsid w:val="004E550E"/>
    <w:rsid w:val="004E55DB"/>
    <w:rsid w:val="004E67C6"/>
    <w:rsid w:val="004F5959"/>
    <w:rsid w:val="004F670C"/>
    <w:rsid w:val="004F6D5A"/>
    <w:rsid w:val="00502B2F"/>
    <w:rsid w:val="00512D00"/>
    <w:rsid w:val="00512D44"/>
    <w:rsid w:val="00514179"/>
    <w:rsid w:val="00516243"/>
    <w:rsid w:val="005164D4"/>
    <w:rsid w:val="00533179"/>
    <w:rsid w:val="005406A0"/>
    <w:rsid w:val="00540E03"/>
    <w:rsid w:val="00541D5F"/>
    <w:rsid w:val="00544BEA"/>
    <w:rsid w:val="005460D5"/>
    <w:rsid w:val="00553CF0"/>
    <w:rsid w:val="00557C75"/>
    <w:rsid w:val="00565CCA"/>
    <w:rsid w:val="00566A85"/>
    <w:rsid w:val="00570C78"/>
    <w:rsid w:val="00573AE3"/>
    <w:rsid w:val="005747D1"/>
    <w:rsid w:val="00581EF9"/>
    <w:rsid w:val="00583690"/>
    <w:rsid w:val="005902D9"/>
    <w:rsid w:val="0059075F"/>
    <w:rsid w:val="00596AB7"/>
    <w:rsid w:val="005A1B5C"/>
    <w:rsid w:val="005A1EA7"/>
    <w:rsid w:val="005A2B3C"/>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0C85"/>
    <w:rsid w:val="00613410"/>
    <w:rsid w:val="00617986"/>
    <w:rsid w:val="006256CA"/>
    <w:rsid w:val="00625BD5"/>
    <w:rsid w:val="00627729"/>
    <w:rsid w:val="00627F21"/>
    <w:rsid w:val="0063025A"/>
    <w:rsid w:val="0064583B"/>
    <w:rsid w:val="006468B8"/>
    <w:rsid w:val="00651127"/>
    <w:rsid w:val="0065190C"/>
    <w:rsid w:val="006542F1"/>
    <w:rsid w:val="00654A48"/>
    <w:rsid w:val="0065651B"/>
    <w:rsid w:val="006602C8"/>
    <w:rsid w:val="00664607"/>
    <w:rsid w:val="00665941"/>
    <w:rsid w:val="0066755F"/>
    <w:rsid w:val="00670089"/>
    <w:rsid w:val="00670C89"/>
    <w:rsid w:val="00671233"/>
    <w:rsid w:val="0067607E"/>
    <w:rsid w:val="006763DC"/>
    <w:rsid w:val="006765A1"/>
    <w:rsid w:val="006768DC"/>
    <w:rsid w:val="00680AE4"/>
    <w:rsid w:val="00682205"/>
    <w:rsid w:val="006822B0"/>
    <w:rsid w:val="00684E51"/>
    <w:rsid w:val="0068793C"/>
    <w:rsid w:val="00693AFD"/>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2326"/>
    <w:rsid w:val="00703E07"/>
    <w:rsid w:val="00704E5D"/>
    <w:rsid w:val="00705739"/>
    <w:rsid w:val="00705B1A"/>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51B13"/>
    <w:rsid w:val="00762B70"/>
    <w:rsid w:val="007636FE"/>
    <w:rsid w:val="00766091"/>
    <w:rsid w:val="0077408E"/>
    <w:rsid w:val="00780577"/>
    <w:rsid w:val="00781AD3"/>
    <w:rsid w:val="00781BFB"/>
    <w:rsid w:val="007867EC"/>
    <w:rsid w:val="00786FA7"/>
    <w:rsid w:val="0079177C"/>
    <w:rsid w:val="00792353"/>
    <w:rsid w:val="00794382"/>
    <w:rsid w:val="007959AC"/>
    <w:rsid w:val="00796323"/>
    <w:rsid w:val="007A20E0"/>
    <w:rsid w:val="007B2204"/>
    <w:rsid w:val="007B4B60"/>
    <w:rsid w:val="007B7278"/>
    <w:rsid w:val="007C1691"/>
    <w:rsid w:val="007C6B0F"/>
    <w:rsid w:val="007D0625"/>
    <w:rsid w:val="007D167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45343"/>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23CD"/>
    <w:rsid w:val="008A4D88"/>
    <w:rsid w:val="008B25E8"/>
    <w:rsid w:val="008C1B22"/>
    <w:rsid w:val="008C4C84"/>
    <w:rsid w:val="008C510F"/>
    <w:rsid w:val="008D067F"/>
    <w:rsid w:val="008D3283"/>
    <w:rsid w:val="008E437B"/>
    <w:rsid w:val="008E4D3F"/>
    <w:rsid w:val="008E66B8"/>
    <w:rsid w:val="008F0A2E"/>
    <w:rsid w:val="008F12A2"/>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29C"/>
    <w:rsid w:val="00962BF1"/>
    <w:rsid w:val="00963237"/>
    <w:rsid w:val="00966820"/>
    <w:rsid w:val="00966FC7"/>
    <w:rsid w:val="00971E57"/>
    <w:rsid w:val="009723CF"/>
    <w:rsid w:val="00972F46"/>
    <w:rsid w:val="00973D3A"/>
    <w:rsid w:val="009741DC"/>
    <w:rsid w:val="0097652A"/>
    <w:rsid w:val="00980037"/>
    <w:rsid w:val="00983B43"/>
    <w:rsid w:val="00984742"/>
    <w:rsid w:val="0099161D"/>
    <w:rsid w:val="00991B37"/>
    <w:rsid w:val="009B6208"/>
    <w:rsid w:val="009B71FF"/>
    <w:rsid w:val="009C2A40"/>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5AE6"/>
    <w:rsid w:val="00A06013"/>
    <w:rsid w:val="00A104A7"/>
    <w:rsid w:val="00A12904"/>
    <w:rsid w:val="00A15FBF"/>
    <w:rsid w:val="00A1616D"/>
    <w:rsid w:val="00A1783B"/>
    <w:rsid w:val="00A22333"/>
    <w:rsid w:val="00A224AC"/>
    <w:rsid w:val="00A26FF7"/>
    <w:rsid w:val="00A27159"/>
    <w:rsid w:val="00A37A20"/>
    <w:rsid w:val="00A445DC"/>
    <w:rsid w:val="00A44BEA"/>
    <w:rsid w:val="00A47C22"/>
    <w:rsid w:val="00A55B14"/>
    <w:rsid w:val="00A5689C"/>
    <w:rsid w:val="00A569E8"/>
    <w:rsid w:val="00A57FAF"/>
    <w:rsid w:val="00A601C4"/>
    <w:rsid w:val="00A604FA"/>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6F"/>
    <w:rsid w:val="00B229A5"/>
    <w:rsid w:val="00B2488E"/>
    <w:rsid w:val="00B25998"/>
    <w:rsid w:val="00B25EB3"/>
    <w:rsid w:val="00B42056"/>
    <w:rsid w:val="00B478C3"/>
    <w:rsid w:val="00B52715"/>
    <w:rsid w:val="00B5332B"/>
    <w:rsid w:val="00B61348"/>
    <w:rsid w:val="00B6263F"/>
    <w:rsid w:val="00B67114"/>
    <w:rsid w:val="00B678C7"/>
    <w:rsid w:val="00B70368"/>
    <w:rsid w:val="00B7097C"/>
    <w:rsid w:val="00B72BCC"/>
    <w:rsid w:val="00B74F7A"/>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43D7"/>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1A99"/>
    <w:rsid w:val="00C62B51"/>
    <w:rsid w:val="00C65711"/>
    <w:rsid w:val="00C66460"/>
    <w:rsid w:val="00C76ECD"/>
    <w:rsid w:val="00C8221C"/>
    <w:rsid w:val="00C84B63"/>
    <w:rsid w:val="00C84E04"/>
    <w:rsid w:val="00C86DC6"/>
    <w:rsid w:val="00C910BE"/>
    <w:rsid w:val="00C922BE"/>
    <w:rsid w:val="00CA10F9"/>
    <w:rsid w:val="00CA1453"/>
    <w:rsid w:val="00CA14F4"/>
    <w:rsid w:val="00CA583F"/>
    <w:rsid w:val="00CA5844"/>
    <w:rsid w:val="00CA7415"/>
    <w:rsid w:val="00CB265C"/>
    <w:rsid w:val="00CB2BDD"/>
    <w:rsid w:val="00CB32BC"/>
    <w:rsid w:val="00CB4540"/>
    <w:rsid w:val="00CB4951"/>
    <w:rsid w:val="00CB7A07"/>
    <w:rsid w:val="00CC59BB"/>
    <w:rsid w:val="00CC610F"/>
    <w:rsid w:val="00CD1B93"/>
    <w:rsid w:val="00CD3BD4"/>
    <w:rsid w:val="00CD3CC8"/>
    <w:rsid w:val="00CD4915"/>
    <w:rsid w:val="00CD60BD"/>
    <w:rsid w:val="00CD635D"/>
    <w:rsid w:val="00CD6DEE"/>
    <w:rsid w:val="00CD7C5B"/>
    <w:rsid w:val="00CD7CED"/>
    <w:rsid w:val="00CE04C7"/>
    <w:rsid w:val="00CE2AC9"/>
    <w:rsid w:val="00CE2AFE"/>
    <w:rsid w:val="00CE7B14"/>
    <w:rsid w:val="00CF0AB3"/>
    <w:rsid w:val="00CF156B"/>
    <w:rsid w:val="00CF1E02"/>
    <w:rsid w:val="00CF4BD6"/>
    <w:rsid w:val="00CF597A"/>
    <w:rsid w:val="00D00228"/>
    <w:rsid w:val="00D00DA0"/>
    <w:rsid w:val="00D0103F"/>
    <w:rsid w:val="00D03E34"/>
    <w:rsid w:val="00D05BAA"/>
    <w:rsid w:val="00D05EFC"/>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3852"/>
    <w:rsid w:val="00D44059"/>
    <w:rsid w:val="00D4511A"/>
    <w:rsid w:val="00D510AE"/>
    <w:rsid w:val="00D51813"/>
    <w:rsid w:val="00D51F2C"/>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1848"/>
    <w:rsid w:val="00DF235C"/>
    <w:rsid w:val="00DF426D"/>
    <w:rsid w:val="00DF47D6"/>
    <w:rsid w:val="00DF4D5A"/>
    <w:rsid w:val="00DF5425"/>
    <w:rsid w:val="00DF782C"/>
    <w:rsid w:val="00DF7BC6"/>
    <w:rsid w:val="00E00813"/>
    <w:rsid w:val="00E030A0"/>
    <w:rsid w:val="00E04F16"/>
    <w:rsid w:val="00E075A1"/>
    <w:rsid w:val="00E0797A"/>
    <w:rsid w:val="00E11432"/>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46ECE"/>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E7379"/>
    <w:rsid w:val="00EF0199"/>
    <w:rsid w:val="00EF2D23"/>
    <w:rsid w:val="00EF5BBC"/>
    <w:rsid w:val="00EF5CFC"/>
    <w:rsid w:val="00F0263C"/>
    <w:rsid w:val="00F0402A"/>
    <w:rsid w:val="00F07266"/>
    <w:rsid w:val="00F15A52"/>
    <w:rsid w:val="00F16313"/>
    <w:rsid w:val="00F1700E"/>
    <w:rsid w:val="00F20820"/>
    <w:rsid w:val="00F20FF1"/>
    <w:rsid w:val="00F24317"/>
    <w:rsid w:val="00F25F5F"/>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3767"/>
    <w:rsid w:val="00FD5823"/>
    <w:rsid w:val="00FD7BE0"/>
    <w:rsid w:val="00FE1C27"/>
    <w:rsid w:val="00FE326F"/>
    <w:rsid w:val="00FE5C31"/>
    <w:rsid w:val="00FF0F20"/>
    <w:rsid w:val="00FF1B0E"/>
    <w:rsid w:val="00FF268A"/>
    <w:rsid w:val="00FF748B"/>
    <w:rsid w:val="010E1F90"/>
    <w:rsid w:val="012439C1"/>
    <w:rsid w:val="012B4701"/>
    <w:rsid w:val="014003F5"/>
    <w:rsid w:val="014A102B"/>
    <w:rsid w:val="01666735"/>
    <w:rsid w:val="016E3A01"/>
    <w:rsid w:val="01B6046E"/>
    <w:rsid w:val="01C507DC"/>
    <w:rsid w:val="01CF7782"/>
    <w:rsid w:val="01D737EA"/>
    <w:rsid w:val="01EE2BD1"/>
    <w:rsid w:val="01EE7C08"/>
    <w:rsid w:val="01FC7E27"/>
    <w:rsid w:val="020531A4"/>
    <w:rsid w:val="025B1A26"/>
    <w:rsid w:val="02AE7397"/>
    <w:rsid w:val="02CB1CF7"/>
    <w:rsid w:val="02F343D6"/>
    <w:rsid w:val="03037256"/>
    <w:rsid w:val="03224DD7"/>
    <w:rsid w:val="035E01C7"/>
    <w:rsid w:val="039E00E0"/>
    <w:rsid w:val="03BD3D36"/>
    <w:rsid w:val="03C50E3C"/>
    <w:rsid w:val="03D119A1"/>
    <w:rsid w:val="040A2CF3"/>
    <w:rsid w:val="041457E8"/>
    <w:rsid w:val="04153F23"/>
    <w:rsid w:val="042A2A5B"/>
    <w:rsid w:val="043A57D9"/>
    <w:rsid w:val="043E138F"/>
    <w:rsid w:val="04402271"/>
    <w:rsid w:val="045559CC"/>
    <w:rsid w:val="04CC47D2"/>
    <w:rsid w:val="04FE61EB"/>
    <w:rsid w:val="05022CF2"/>
    <w:rsid w:val="05663F59"/>
    <w:rsid w:val="05713159"/>
    <w:rsid w:val="05937169"/>
    <w:rsid w:val="059E36F3"/>
    <w:rsid w:val="05A97B5B"/>
    <w:rsid w:val="05B47F69"/>
    <w:rsid w:val="05C217CC"/>
    <w:rsid w:val="05CF6D44"/>
    <w:rsid w:val="05F52847"/>
    <w:rsid w:val="0636240F"/>
    <w:rsid w:val="06450013"/>
    <w:rsid w:val="065C4581"/>
    <w:rsid w:val="065D0A0A"/>
    <w:rsid w:val="066A5A55"/>
    <w:rsid w:val="067803E8"/>
    <w:rsid w:val="06826B27"/>
    <w:rsid w:val="068F292B"/>
    <w:rsid w:val="069631A7"/>
    <w:rsid w:val="069E1975"/>
    <w:rsid w:val="06D93273"/>
    <w:rsid w:val="06E92019"/>
    <w:rsid w:val="07230354"/>
    <w:rsid w:val="0745369D"/>
    <w:rsid w:val="07584455"/>
    <w:rsid w:val="0765771E"/>
    <w:rsid w:val="083612A8"/>
    <w:rsid w:val="08782F51"/>
    <w:rsid w:val="08942FEC"/>
    <w:rsid w:val="08A131FB"/>
    <w:rsid w:val="08E73603"/>
    <w:rsid w:val="0908551E"/>
    <w:rsid w:val="092263E9"/>
    <w:rsid w:val="09280DA2"/>
    <w:rsid w:val="094401F6"/>
    <w:rsid w:val="09700714"/>
    <w:rsid w:val="0993196F"/>
    <w:rsid w:val="09D26061"/>
    <w:rsid w:val="09D27E0F"/>
    <w:rsid w:val="09F4422A"/>
    <w:rsid w:val="0A0C25A5"/>
    <w:rsid w:val="0A1B5312"/>
    <w:rsid w:val="0A790C1D"/>
    <w:rsid w:val="0A7A13B6"/>
    <w:rsid w:val="0A85030A"/>
    <w:rsid w:val="0AC179A7"/>
    <w:rsid w:val="0AD63DB2"/>
    <w:rsid w:val="0B004928"/>
    <w:rsid w:val="0B057CC3"/>
    <w:rsid w:val="0B073AE9"/>
    <w:rsid w:val="0B097DC8"/>
    <w:rsid w:val="0B281DB2"/>
    <w:rsid w:val="0B286835"/>
    <w:rsid w:val="0B392039"/>
    <w:rsid w:val="0B7D3DAB"/>
    <w:rsid w:val="0B8D4BEC"/>
    <w:rsid w:val="0BB05E7F"/>
    <w:rsid w:val="0BBD7F27"/>
    <w:rsid w:val="0C000C64"/>
    <w:rsid w:val="0C1C6869"/>
    <w:rsid w:val="0C5114BF"/>
    <w:rsid w:val="0C61547A"/>
    <w:rsid w:val="0C6C713C"/>
    <w:rsid w:val="0C825D1F"/>
    <w:rsid w:val="0C9E75C1"/>
    <w:rsid w:val="0CB979F2"/>
    <w:rsid w:val="0CFB2CD2"/>
    <w:rsid w:val="0D1A58CE"/>
    <w:rsid w:val="0D8458C4"/>
    <w:rsid w:val="0D852AFC"/>
    <w:rsid w:val="0D97527E"/>
    <w:rsid w:val="0DAB4B9A"/>
    <w:rsid w:val="0DC82110"/>
    <w:rsid w:val="0E023C9B"/>
    <w:rsid w:val="0E0E0D61"/>
    <w:rsid w:val="0E274886"/>
    <w:rsid w:val="0E8536A2"/>
    <w:rsid w:val="0E941939"/>
    <w:rsid w:val="0EAD1C9D"/>
    <w:rsid w:val="0EE4486D"/>
    <w:rsid w:val="0EF22370"/>
    <w:rsid w:val="0F3D5D2B"/>
    <w:rsid w:val="0F41564B"/>
    <w:rsid w:val="0F517A28"/>
    <w:rsid w:val="0F73F1F0"/>
    <w:rsid w:val="0F875445"/>
    <w:rsid w:val="0F8F138C"/>
    <w:rsid w:val="0F990090"/>
    <w:rsid w:val="0FA61B22"/>
    <w:rsid w:val="0FA93CD9"/>
    <w:rsid w:val="0FC3607D"/>
    <w:rsid w:val="0FC958A4"/>
    <w:rsid w:val="0FCE07B5"/>
    <w:rsid w:val="0FD3043D"/>
    <w:rsid w:val="0FD6060D"/>
    <w:rsid w:val="1055167A"/>
    <w:rsid w:val="107E65FB"/>
    <w:rsid w:val="109D1177"/>
    <w:rsid w:val="109F3AE9"/>
    <w:rsid w:val="10A6525C"/>
    <w:rsid w:val="10BF3A0D"/>
    <w:rsid w:val="10C67196"/>
    <w:rsid w:val="113D0264"/>
    <w:rsid w:val="114915F7"/>
    <w:rsid w:val="114D490E"/>
    <w:rsid w:val="11521554"/>
    <w:rsid w:val="115B752C"/>
    <w:rsid w:val="11651A69"/>
    <w:rsid w:val="116E08FD"/>
    <w:rsid w:val="116E48C1"/>
    <w:rsid w:val="117D2D56"/>
    <w:rsid w:val="11A93906"/>
    <w:rsid w:val="11BA5AC3"/>
    <w:rsid w:val="11C95F9C"/>
    <w:rsid w:val="120506B9"/>
    <w:rsid w:val="12064AFA"/>
    <w:rsid w:val="120D40DA"/>
    <w:rsid w:val="122C3820"/>
    <w:rsid w:val="12333415"/>
    <w:rsid w:val="125C471A"/>
    <w:rsid w:val="127C38CA"/>
    <w:rsid w:val="12A460C1"/>
    <w:rsid w:val="12C815A1"/>
    <w:rsid w:val="12E42DCF"/>
    <w:rsid w:val="1300779B"/>
    <w:rsid w:val="131C339B"/>
    <w:rsid w:val="13517FF7"/>
    <w:rsid w:val="13622204"/>
    <w:rsid w:val="138A4589"/>
    <w:rsid w:val="13B8757C"/>
    <w:rsid w:val="13D604FC"/>
    <w:rsid w:val="13E95FBD"/>
    <w:rsid w:val="141334FE"/>
    <w:rsid w:val="144A06F6"/>
    <w:rsid w:val="14531E2D"/>
    <w:rsid w:val="14535FF1"/>
    <w:rsid w:val="14687E7F"/>
    <w:rsid w:val="147A5E14"/>
    <w:rsid w:val="1497412F"/>
    <w:rsid w:val="14D42C8D"/>
    <w:rsid w:val="14E530ED"/>
    <w:rsid w:val="15612461"/>
    <w:rsid w:val="156264EB"/>
    <w:rsid w:val="159F14ED"/>
    <w:rsid w:val="15A80551"/>
    <w:rsid w:val="15DF5D8E"/>
    <w:rsid w:val="15EF58A5"/>
    <w:rsid w:val="15FD6E32"/>
    <w:rsid w:val="16293794"/>
    <w:rsid w:val="16585D24"/>
    <w:rsid w:val="16646293"/>
    <w:rsid w:val="168C6C90"/>
    <w:rsid w:val="16A448E1"/>
    <w:rsid w:val="16AA639C"/>
    <w:rsid w:val="16C0518A"/>
    <w:rsid w:val="16C15FA5"/>
    <w:rsid w:val="16DE7DF3"/>
    <w:rsid w:val="1732777D"/>
    <w:rsid w:val="17425C0C"/>
    <w:rsid w:val="175A3EB4"/>
    <w:rsid w:val="17942BA8"/>
    <w:rsid w:val="17A00081"/>
    <w:rsid w:val="17A1211B"/>
    <w:rsid w:val="181C36C8"/>
    <w:rsid w:val="1830456F"/>
    <w:rsid w:val="18ED7A84"/>
    <w:rsid w:val="19042EAD"/>
    <w:rsid w:val="193463F1"/>
    <w:rsid w:val="193E0799"/>
    <w:rsid w:val="195B04F1"/>
    <w:rsid w:val="19655697"/>
    <w:rsid w:val="199709F7"/>
    <w:rsid w:val="199944A6"/>
    <w:rsid w:val="19BA1C75"/>
    <w:rsid w:val="19C3144B"/>
    <w:rsid w:val="19DD35A1"/>
    <w:rsid w:val="1A0F6516"/>
    <w:rsid w:val="1A332204"/>
    <w:rsid w:val="1A4D54A0"/>
    <w:rsid w:val="1A5A5165"/>
    <w:rsid w:val="1A990B6C"/>
    <w:rsid w:val="1AB23A71"/>
    <w:rsid w:val="1ABA2925"/>
    <w:rsid w:val="1AC63078"/>
    <w:rsid w:val="1B2E1226"/>
    <w:rsid w:val="1B752593"/>
    <w:rsid w:val="1BED4E7D"/>
    <w:rsid w:val="1C0020E8"/>
    <w:rsid w:val="1C0A1246"/>
    <w:rsid w:val="1C237A27"/>
    <w:rsid w:val="1C2B1BAD"/>
    <w:rsid w:val="1C31559D"/>
    <w:rsid w:val="1C3241EB"/>
    <w:rsid w:val="1C4F0374"/>
    <w:rsid w:val="1C8E5197"/>
    <w:rsid w:val="1C9A2A0F"/>
    <w:rsid w:val="1CA4388D"/>
    <w:rsid w:val="1D1545CE"/>
    <w:rsid w:val="1D5521F6"/>
    <w:rsid w:val="1DB7314C"/>
    <w:rsid w:val="1DBB273F"/>
    <w:rsid w:val="1DD81269"/>
    <w:rsid w:val="1E01086B"/>
    <w:rsid w:val="1E3D60CC"/>
    <w:rsid w:val="1E406F8C"/>
    <w:rsid w:val="1E656462"/>
    <w:rsid w:val="1E845DEA"/>
    <w:rsid w:val="1F1FA109"/>
    <w:rsid w:val="1F4A2E8F"/>
    <w:rsid w:val="1F766D35"/>
    <w:rsid w:val="1F915726"/>
    <w:rsid w:val="1F9966D3"/>
    <w:rsid w:val="1FBF278C"/>
    <w:rsid w:val="20166850"/>
    <w:rsid w:val="20370353"/>
    <w:rsid w:val="20474C5B"/>
    <w:rsid w:val="205D447F"/>
    <w:rsid w:val="207B4905"/>
    <w:rsid w:val="20F07432"/>
    <w:rsid w:val="20F73B7C"/>
    <w:rsid w:val="2136724D"/>
    <w:rsid w:val="214371F4"/>
    <w:rsid w:val="214474EF"/>
    <w:rsid w:val="21625308"/>
    <w:rsid w:val="21663408"/>
    <w:rsid w:val="2184149B"/>
    <w:rsid w:val="21864056"/>
    <w:rsid w:val="21916ED9"/>
    <w:rsid w:val="21A25DC4"/>
    <w:rsid w:val="21B527DE"/>
    <w:rsid w:val="21E75E88"/>
    <w:rsid w:val="21FE4FAF"/>
    <w:rsid w:val="22486A69"/>
    <w:rsid w:val="226338A3"/>
    <w:rsid w:val="226B43F1"/>
    <w:rsid w:val="226B5F70"/>
    <w:rsid w:val="227776B2"/>
    <w:rsid w:val="22E03BBA"/>
    <w:rsid w:val="22E05E65"/>
    <w:rsid w:val="23330F5A"/>
    <w:rsid w:val="233A0AA7"/>
    <w:rsid w:val="234B6EA1"/>
    <w:rsid w:val="234D192E"/>
    <w:rsid w:val="234E671D"/>
    <w:rsid w:val="23553FCE"/>
    <w:rsid w:val="24241387"/>
    <w:rsid w:val="243F3E9B"/>
    <w:rsid w:val="24701082"/>
    <w:rsid w:val="24922E39"/>
    <w:rsid w:val="24BE72A3"/>
    <w:rsid w:val="24CA339A"/>
    <w:rsid w:val="24D91964"/>
    <w:rsid w:val="24F9229C"/>
    <w:rsid w:val="24FF28BB"/>
    <w:rsid w:val="250C10D6"/>
    <w:rsid w:val="25103C45"/>
    <w:rsid w:val="25186BC6"/>
    <w:rsid w:val="253D487F"/>
    <w:rsid w:val="25413944"/>
    <w:rsid w:val="255078DB"/>
    <w:rsid w:val="25660416"/>
    <w:rsid w:val="257768C3"/>
    <w:rsid w:val="2583745E"/>
    <w:rsid w:val="259D45CC"/>
    <w:rsid w:val="25A26260"/>
    <w:rsid w:val="26111D82"/>
    <w:rsid w:val="261536C1"/>
    <w:rsid w:val="264F486A"/>
    <w:rsid w:val="26630315"/>
    <w:rsid w:val="267000A3"/>
    <w:rsid w:val="26983290"/>
    <w:rsid w:val="269B0FAB"/>
    <w:rsid w:val="26DD6558"/>
    <w:rsid w:val="26E06B97"/>
    <w:rsid w:val="26EE0F6E"/>
    <w:rsid w:val="27042C3A"/>
    <w:rsid w:val="27165388"/>
    <w:rsid w:val="272C21F3"/>
    <w:rsid w:val="27441A10"/>
    <w:rsid w:val="27A6495D"/>
    <w:rsid w:val="27F51899"/>
    <w:rsid w:val="27FD4BA0"/>
    <w:rsid w:val="280425A1"/>
    <w:rsid w:val="282B39E1"/>
    <w:rsid w:val="28300ECD"/>
    <w:rsid w:val="285965A1"/>
    <w:rsid w:val="28685E58"/>
    <w:rsid w:val="28B3315D"/>
    <w:rsid w:val="28EB6F3A"/>
    <w:rsid w:val="290751B4"/>
    <w:rsid w:val="29097D6B"/>
    <w:rsid w:val="29172DBC"/>
    <w:rsid w:val="29774D0D"/>
    <w:rsid w:val="297939AC"/>
    <w:rsid w:val="29EE6148"/>
    <w:rsid w:val="2A3C30FB"/>
    <w:rsid w:val="2A3C5105"/>
    <w:rsid w:val="2A4F5F55"/>
    <w:rsid w:val="2A7F2456"/>
    <w:rsid w:val="2A801147"/>
    <w:rsid w:val="2A9669CD"/>
    <w:rsid w:val="2A9E269F"/>
    <w:rsid w:val="2AA01F44"/>
    <w:rsid w:val="2AAB5DE7"/>
    <w:rsid w:val="2AC179D9"/>
    <w:rsid w:val="2AD93D52"/>
    <w:rsid w:val="2AE0119A"/>
    <w:rsid w:val="2AE31A25"/>
    <w:rsid w:val="2AFB57C8"/>
    <w:rsid w:val="2B0F6376"/>
    <w:rsid w:val="2B2067D5"/>
    <w:rsid w:val="2B2C772A"/>
    <w:rsid w:val="2B5E4A9B"/>
    <w:rsid w:val="2B7164CC"/>
    <w:rsid w:val="2B8C42DF"/>
    <w:rsid w:val="2BB65EE6"/>
    <w:rsid w:val="2BBC7C1D"/>
    <w:rsid w:val="2BCE4D6E"/>
    <w:rsid w:val="2BD92719"/>
    <w:rsid w:val="2BE45460"/>
    <w:rsid w:val="2BF12ADC"/>
    <w:rsid w:val="2C0B1233"/>
    <w:rsid w:val="2C1D25A1"/>
    <w:rsid w:val="2C611433"/>
    <w:rsid w:val="2C7A7A8D"/>
    <w:rsid w:val="2C9702DC"/>
    <w:rsid w:val="2CC576E0"/>
    <w:rsid w:val="2CDF423F"/>
    <w:rsid w:val="2CEE4AB3"/>
    <w:rsid w:val="2D08102D"/>
    <w:rsid w:val="2D2F2CFF"/>
    <w:rsid w:val="2D524DEE"/>
    <w:rsid w:val="2D64259B"/>
    <w:rsid w:val="2D8950BC"/>
    <w:rsid w:val="2D9405AF"/>
    <w:rsid w:val="2D977AB0"/>
    <w:rsid w:val="2DBB27E5"/>
    <w:rsid w:val="2DD60569"/>
    <w:rsid w:val="2DEB4AB1"/>
    <w:rsid w:val="2DEC1A74"/>
    <w:rsid w:val="2E60513A"/>
    <w:rsid w:val="2E6F45ED"/>
    <w:rsid w:val="2E786928"/>
    <w:rsid w:val="2E8B4E9B"/>
    <w:rsid w:val="2EA166C1"/>
    <w:rsid w:val="2EA3665D"/>
    <w:rsid w:val="2EAD08EF"/>
    <w:rsid w:val="2EC72052"/>
    <w:rsid w:val="2ECF360C"/>
    <w:rsid w:val="2EEC350B"/>
    <w:rsid w:val="2EF20805"/>
    <w:rsid w:val="2F0A3A24"/>
    <w:rsid w:val="2F166E3A"/>
    <w:rsid w:val="2F1C3757"/>
    <w:rsid w:val="2F393D1C"/>
    <w:rsid w:val="2F4F34F7"/>
    <w:rsid w:val="2F731A7F"/>
    <w:rsid w:val="2FD27E35"/>
    <w:rsid w:val="2FDF3281"/>
    <w:rsid w:val="30136C5B"/>
    <w:rsid w:val="30291BA3"/>
    <w:rsid w:val="30332B06"/>
    <w:rsid w:val="303F6F81"/>
    <w:rsid w:val="304A6C70"/>
    <w:rsid w:val="30991CC7"/>
    <w:rsid w:val="30B30D96"/>
    <w:rsid w:val="30C45B1C"/>
    <w:rsid w:val="30CB71E3"/>
    <w:rsid w:val="310A7307"/>
    <w:rsid w:val="31362F76"/>
    <w:rsid w:val="318D6246"/>
    <w:rsid w:val="31980B93"/>
    <w:rsid w:val="31A97596"/>
    <w:rsid w:val="31B34BC4"/>
    <w:rsid w:val="31E83DC4"/>
    <w:rsid w:val="320D5349"/>
    <w:rsid w:val="326232A0"/>
    <w:rsid w:val="326A2A2B"/>
    <w:rsid w:val="327306FD"/>
    <w:rsid w:val="32C24615"/>
    <w:rsid w:val="32D20AF4"/>
    <w:rsid w:val="32DF22A5"/>
    <w:rsid w:val="32EC1EA1"/>
    <w:rsid w:val="32FF167A"/>
    <w:rsid w:val="330E1357"/>
    <w:rsid w:val="331B5F85"/>
    <w:rsid w:val="332350B4"/>
    <w:rsid w:val="33385E44"/>
    <w:rsid w:val="33735405"/>
    <w:rsid w:val="337E22EA"/>
    <w:rsid w:val="338F274A"/>
    <w:rsid w:val="33A8074C"/>
    <w:rsid w:val="33C735A0"/>
    <w:rsid w:val="33DF11FD"/>
    <w:rsid w:val="33E86ECF"/>
    <w:rsid w:val="33EB36F8"/>
    <w:rsid w:val="33F24A4C"/>
    <w:rsid w:val="3421153E"/>
    <w:rsid w:val="342124E6"/>
    <w:rsid w:val="34293C06"/>
    <w:rsid w:val="342C6891"/>
    <w:rsid w:val="34480C48"/>
    <w:rsid w:val="350B691C"/>
    <w:rsid w:val="35151992"/>
    <w:rsid w:val="3539338A"/>
    <w:rsid w:val="355F3BF3"/>
    <w:rsid w:val="35BB0691"/>
    <w:rsid w:val="35C37DC3"/>
    <w:rsid w:val="35CE6E2D"/>
    <w:rsid w:val="35DA3A24"/>
    <w:rsid w:val="36152F1D"/>
    <w:rsid w:val="363B7552"/>
    <w:rsid w:val="365C2077"/>
    <w:rsid w:val="368178E7"/>
    <w:rsid w:val="368A6D30"/>
    <w:rsid w:val="36965B9D"/>
    <w:rsid w:val="36BA1E1E"/>
    <w:rsid w:val="36BA3A89"/>
    <w:rsid w:val="36D12DAF"/>
    <w:rsid w:val="36D466C5"/>
    <w:rsid w:val="36FA437E"/>
    <w:rsid w:val="37031EB5"/>
    <w:rsid w:val="37402C26"/>
    <w:rsid w:val="379D6311"/>
    <w:rsid w:val="37B02C8E"/>
    <w:rsid w:val="380A368A"/>
    <w:rsid w:val="381D6C87"/>
    <w:rsid w:val="38392C84"/>
    <w:rsid w:val="383A69FC"/>
    <w:rsid w:val="38633130"/>
    <w:rsid w:val="38740160"/>
    <w:rsid w:val="387B4294"/>
    <w:rsid w:val="388C7CC2"/>
    <w:rsid w:val="389A0431"/>
    <w:rsid w:val="389A72F4"/>
    <w:rsid w:val="389B3FCD"/>
    <w:rsid w:val="38AA3ECF"/>
    <w:rsid w:val="38B41477"/>
    <w:rsid w:val="38BD1B07"/>
    <w:rsid w:val="38CC58A6"/>
    <w:rsid w:val="38D42BB0"/>
    <w:rsid w:val="38D4425E"/>
    <w:rsid w:val="38FA1622"/>
    <w:rsid w:val="38FC1CB1"/>
    <w:rsid w:val="391138BB"/>
    <w:rsid w:val="399012A5"/>
    <w:rsid w:val="39902D77"/>
    <w:rsid w:val="39AD58C4"/>
    <w:rsid w:val="39AE77D7"/>
    <w:rsid w:val="39AF7CB0"/>
    <w:rsid w:val="39B50A30"/>
    <w:rsid w:val="39C24E08"/>
    <w:rsid w:val="39C953D2"/>
    <w:rsid w:val="39E00C26"/>
    <w:rsid w:val="3A243E65"/>
    <w:rsid w:val="3A302F52"/>
    <w:rsid w:val="3A60099C"/>
    <w:rsid w:val="3A731C3E"/>
    <w:rsid w:val="3A804E6D"/>
    <w:rsid w:val="3A863F72"/>
    <w:rsid w:val="3AEF3E7A"/>
    <w:rsid w:val="3AF50731"/>
    <w:rsid w:val="3B042005"/>
    <w:rsid w:val="3B145811"/>
    <w:rsid w:val="3B247C1B"/>
    <w:rsid w:val="3B2B51B8"/>
    <w:rsid w:val="3B3430C1"/>
    <w:rsid w:val="3B3B26B4"/>
    <w:rsid w:val="3B4C0F20"/>
    <w:rsid w:val="3B6F4C0F"/>
    <w:rsid w:val="3B7D150A"/>
    <w:rsid w:val="3B824942"/>
    <w:rsid w:val="3BCA0015"/>
    <w:rsid w:val="3BD10A0D"/>
    <w:rsid w:val="3C2E730F"/>
    <w:rsid w:val="3C3919B2"/>
    <w:rsid w:val="3C3E2F5F"/>
    <w:rsid w:val="3C5C33E5"/>
    <w:rsid w:val="3C616AFE"/>
    <w:rsid w:val="3C784EC1"/>
    <w:rsid w:val="3C841D58"/>
    <w:rsid w:val="3C917532"/>
    <w:rsid w:val="3C9C30B9"/>
    <w:rsid w:val="3CEC4C01"/>
    <w:rsid w:val="3CF10D87"/>
    <w:rsid w:val="3D121CF5"/>
    <w:rsid w:val="3D387D18"/>
    <w:rsid w:val="3D3B124C"/>
    <w:rsid w:val="3D955418"/>
    <w:rsid w:val="3D9F66AB"/>
    <w:rsid w:val="3DB039E8"/>
    <w:rsid w:val="3DC05072"/>
    <w:rsid w:val="3DC06494"/>
    <w:rsid w:val="3DD23377"/>
    <w:rsid w:val="3DD41F12"/>
    <w:rsid w:val="3DE82198"/>
    <w:rsid w:val="3E2406E9"/>
    <w:rsid w:val="3E2B306F"/>
    <w:rsid w:val="3E3A1504"/>
    <w:rsid w:val="3E500D27"/>
    <w:rsid w:val="3E5E3444"/>
    <w:rsid w:val="3E61081F"/>
    <w:rsid w:val="3E6B3DB3"/>
    <w:rsid w:val="3E6D1292"/>
    <w:rsid w:val="3EC5585E"/>
    <w:rsid w:val="3F585471"/>
    <w:rsid w:val="3F6B3692"/>
    <w:rsid w:val="3F76693F"/>
    <w:rsid w:val="3F9556F7"/>
    <w:rsid w:val="3FB452E6"/>
    <w:rsid w:val="3FB83028"/>
    <w:rsid w:val="3FDC4CD2"/>
    <w:rsid w:val="40073668"/>
    <w:rsid w:val="40096745"/>
    <w:rsid w:val="40222DB1"/>
    <w:rsid w:val="40630396"/>
    <w:rsid w:val="406334F2"/>
    <w:rsid w:val="40795730"/>
    <w:rsid w:val="40A8055B"/>
    <w:rsid w:val="40B035B8"/>
    <w:rsid w:val="40C33A32"/>
    <w:rsid w:val="40C9364D"/>
    <w:rsid w:val="40CD2C3F"/>
    <w:rsid w:val="40D519B8"/>
    <w:rsid w:val="40FB141E"/>
    <w:rsid w:val="412A3AB2"/>
    <w:rsid w:val="41406D6F"/>
    <w:rsid w:val="41656740"/>
    <w:rsid w:val="416E2BAD"/>
    <w:rsid w:val="4182744A"/>
    <w:rsid w:val="41836EE7"/>
    <w:rsid w:val="41AC1903"/>
    <w:rsid w:val="41AE45DE"/>
    <w:rsid w:val="41D57EC1"/>
    <w:rsid w:val="41E75EEC"/>
    <w:rsid w:val="41F12821"/>
    <w:rsid w:val="4212359F"/>
    <w:rsid w:val="42246753"/>
    <w:rsid w:val="4227217C"/>
    <w:rsid w:val="42310E70"/>
    <w:rsid w:val="42B5384F"/>
    <w:rsid w:val="42C534C0"/>
    <w:rsid w:val="42D07EC3"/>
    <w:rsid w:val="42E4705F"/>
    <w:rsid w:val="430640AA"/>
    <w:rsid w:val="430D5439"/>
    <w:rsid w:val="432804C5"/>
    <w:rsid w:val="43605CCC"/>
    <w:rsid w:val="43727CFB"/>
    <w:rsid w:val="43A833B4"/>
    <w:rsid w:val="43BA05EB"/>
    <w:rsid w:val="43D63A7D"/>
    <w:rsid w:val="43FB34E3"/>
    <w:rsid w:val="441F3347"/>
    <w:rsid w:val="44215FA9"/>
    <w:rsid w:val="44265E16"/>
    <w:rsid w:val="44352E99"/>
    <w:rsid w:val="443C7F5F"/>
    <w:rsid w:val="445800AD"/>
    <w:rsid w:val="44627714"/>
    <w:rsid w:val="447A7A51"/>
    <w:rsid w:val="449228F7"/>
    <w:rsid w:val="449A71A0"/>
    <w:rsid w:val="44DC3315"/>
    <w:rsid w:val="44F06DC0"/>
    <w:rsid w:val="451D3446"/>
    <w:rsid w:val="452C7897"/>
    <w:rsid w:val="45392D94"/>
    <w:rsid w:val="45AD0228"/>
    <w:rsid w:val="45AF27D7"/>
    <w:rsid w:val="45B1127B"/>
    <w:rsid w:val="45B63B66"/>
    <w:rsid w:val="45C77069"/>
    <w:rsid w:val="45E968E7"/>
    <w:rsid w:val="45EA254E"/>
    <w:rsid w:val="464C0EF1"/>
    <w:rsid w:val="4659434D"/>
    <w:rsid w:val="46715CDF"/>
    <w:rsid w:val="46B81B60"/>
    <w:rsid w:val="46CC2C55"/>
    <w:rsid w:val="46DF780A"/>
    <w:rsid w:val="46EA4614"/>
    <w:rsid w:val="472745EF"/>
    <w:rsid w:val="47321ED1"/>
    <w:rsid w:val="47613A8A"/>
    <w:rsid w:val="477E4B57"/>
    <w:rsid w:val="47B20490"/>
    <w:rsid w:val="47B34548"/>
    <w:rsid w:val="47B63BDE"/>
    <w:rsid w:val="47D33B20"/>
    <w:rsid w:val="47D615B5"/>
    <w:rsid w:val="47F234EA"/>
    <w:rsid w:val="47FA4363"/>
    <w:rsid w:val="48084421"/>
    <w:rsid w:val="486C49B0"/>
    <w:rsid w:val="48701816"/>
    <w:rsid w:val="48836411"/>
    <w:rsid w:val="4884619D"/>
    <w:rsid w:val="48CA6394"/>
    <w:rsid w:val="48CE566A"/>
    <w:rsid w:val="48D83181"/>
    <w:rsid w:val="48E052A8"/>
    <w:rsid w:val="48FF0750"/>
    <w:rsid w:val="491D2230"/>
    <w:rsid w:val="49416BFC"/>
    <w:rsid w:val="49551C16"/>
    <w:rsid w:val="497B7CB3"/>
    <w:rsid w:val="49830203"/>
    <w:rsid w:val="49845D29"/>
    <w:rsid w:val="49877552"/>
    <w:rsid w:val="49A50D02"/>
    <w:rsid w:val="49A632F3"/>
    <w:rsid w:val="49AD5280"/>
    <w:rsid w:val="49EB5DA8"/>
    <w:rsid w:val="4A0550BC"/>
    <w:rsid w:val="4A4F27DB"/>
    <w:rsid w:val="4A9C1610"/>
    <w:rsid w:val="4AAE0F5E"/>
    <w:rsid w:val="4ABC7A01"/>
    <w:rsid w:val="4ABF170F"/>
    <w:rsid w:val="4AC960E9"/>
    <w:rsid w:val="4B08619A"/>
    <w:rsid w:val="4B2D12E0"/>
    <w:rsid w:val="4B330924"/>
    <w:rsid w:val="4B413C02"/>
    <w:rsid w:val="4B466488"/>
    <w:rsid w:val="4B971D44"/>
    <w:rsid w:val="4BA45DF7"/>
    <w:rsid w:val="4BA51A78"/>
    <w:rsid w:val="4BC37FB0"/>
    <w:rsid w:val="4BEA27BB"/>
    <w:rsid w:val="4BEB6B31"/>
    <w:rsid w:val="4BEF537B"/>
    <w:rsid w:val="4BFF39D5"/>
    <w:rsid w:val="4C143C11"/>
    <w:rsid w:val="4C3F60ED"/>
    <w:rsid w:val="4C6F5AD6"/>
    <w:rsid w:val="4C8147A2"/>
    <w:rsid w:val="4C9B3AB5"/>
    <w:rsid w:val="4CAB64B4"/>
    <w:rsid w:val="4CB46925"/>
    <w:rsid w:val="4CCE79E7"/>
    <w:rsid w:val="4CEF795D"/>
    <w:rsid w:val="4D720CBA"/>
    <w:rsid w:val="4D834C75"/>
    <w:rsid w:val="4D94024E"/>
    <w:rsid w:val="4D96311C"/>
    <w:rsid w:val="4D987FF5"/>
    <w:rsid w:val="4DB51AB4"/>
    <w:rsid w:val="4DB52955"/>
    <w:rsid w:val="4DD36371"/>
    <w:rsid w:val="4E2B70BB"/>
    <w:rsid w:val="4E4361B3"/>
    <w:rsid w:val="4E4D40AD"/>
    <w:rsid w:val="4E790592"/>
    <w:rsid w:val="4E8A47E6"/>
    <w:rsid w:val="4E8C5DAC"/>
    <w:rsid w:val="4E8C71ED"/>
    <w:rsid w:val="4E9B7D9D"/>
    <w:rsid w:val="4EAD7AD0"/>
    <w:rsid w:val="4ECA0682"/>
    <w:rsid w:val="4ECB44BE"/>
    <w:rsid w:val="4EF0117A"/>
    <w:rsid w:val="4EF51E14"/>
    <w:rsid w:val="4F067826"/>
    <w:rsid w:val="4F38383D"/>
    <w:rsid w:val="4F677DA3"/>
    <w:rsid w:val="4F92599F"/>
    <w:rsid w:val="4FC74A7D"/>
    <w:rsid w:val="4FD00DE6"/>
    <w:rsid w:val="4FDA0F8D"/>
    <w:rsid w:val="502C7FBC"/>
    <w:rsid w:val="503000EC"/>
    <w:rsid w:val="50335123"/>
    <w:rsid w:val="503A3817"/>
    <w:rsid w:val="50540821"/>
    <w:rsid w:val="5054476F"/>
    <w:rsid w:val="5057504E"/>
    <w:rsid w:val="50827D7F"/>
    <w:rsid w:val="508E5E86"/>
    <w:rsid w:val="509251CF"/>
    <w:rsid w:val="50982285"/>
    <w:rsid w:val="50BF48B5"/>
    <w:rsid w:val="51235989"/>
    <w:rsid w:val="512D0135"/>
    <w:rsid w:val="514069D9"/>
    <w:rsid w:val="514E7348"/>
    <w:rsid w:val="51D672B6"/>
    <w:rsid w:val="51E227F8"/>
    <w:rsid w:val="51E657D3"/>
    <w:rsid w:val="51E942BF"/>
    <w:rsid w:val="51F872B4"/>
    <w:rsid w:val="51FB3E14"/>
    <w:rsid w:val="51FF137E"/>
    <w:rsid w:val="52071443"/>
    <w:rsid w:val="52230813"/>
    <w:rsid w:val="5224663F"/>
    <w:rsid w:val="522B4FC6"/>
    <w:rsid w:val="52483D01"/>
    <w:rsid w:val="524A595D"/>
    <w:rsid w:val="52550B47"/>
    <w:rsid w:val="525B1764"/>
    <w:rsid w:val="525D3808"/>
    <w:rsid w:val="525E7A5F"/>
    <w:rsid w:val="528C5FF0"/>
    <w:rsid w:val="52D27B05"/>
    <w:rsid w:val="52D92ACB"/>
    <w:rsid w:val="5346672E"/>
    <w:rsid w:val="537E350E"/>
    <w:rsid w:val="538C61BD"/>
    <w:rsid w:val="53A63785"/>
    <w:rsid w:val="53B4776F"/>
    <w:rsid w:val="53BA0CC5"/>
    <w:rsid w:val="53BD6A07"/>
    <w:rsid w:val="53D926F3"/>
    <w:rsid w:val="53F7706B"/>
    <w:rsid w:val="541157C3"/>
    <w:rsid w:val="541A71CC"/>
    <w:rsid w:val="541D74A6"/>
    <w:rsid w:val="542A709D"/>
    <w:rsid w:val="54534C76"/>
    <w:rsid w:val="548255D6"/>
    <w:rsid w:val="54A43723"/>
    <w:rsid w:val="54B5321D"/>
    <w:rsid w:val="54D00C3F"/>
    <w:rsid w:val="551B5793"/>
    <w:rsid w:val="55216B22"/>
    <w:rsid w:val="55274C7B"/>
    <w:rsid w:val="555649EC"/>
    <w:rsid w:val="556A3D47"/>
    <w:rsid w:val="557E1660"/>
    <w:rsid w:val="559B0682"/>
    <w:rsid w:val="55A7171D"/>
    <w:rsid w:val="55B55BE8"/>
    <w:rsid w:val="55D6790C"/>
    <w:rsid w:val="561F610A"/>
    <w:rsid w:val="5637484F"/>
    <w:rsid w:val="563D798B"/>
    <w:rsid w:val="56614C60"/>
    <w:rsid w:val="56C41FFC"/>
    <w:rsid w:val="56F6480F"/>
    <w:rsid w:val="56FC15F5"/>
    <w:rsid w:val="57087F99"/>
    <w:rsid w:val="57176FEB"/>
    <w:rsid w:val="5718669A"/>
    <w:rsid w:val="574B4F73"/>
    <w:rsid w:val="57521214"/>
    <w:rsid w:val="576143E1"/>
    <w:rsid w:val="57AE72A5"/>
    <w:rsid w:val="57E77592"/>
    <w:rsid w:val="57EE462A"/>
    <w:rsid w:val="58112195"/>
    <w:rsid w:val="581B0D32"/>
    <w:rsid w:val="58216F0B"/>
    <w:rsid w:val="586048F0"/>
    <w:rsid w:val="586D4948"/>
    <w:rsid w:val="58951D01"/>
    <w:rsid w:val="58AD704A"/>
    <w:rsid w:val="59751C65"/>
    <w:rsid w:val="598C5A03"/>
    <w:rsid w:val="599211F9"/>
    <w:rsid w:val="59965D30"/>
    <w:rsid w:val="599C6A5E"/>
    <w:rsid w:val="5A5F2D06"/>
    <w:rsid w:val="5A9C7376"/>
    <w:rsid w:val="5AA075D5"/>
    <w:rsid w:val="5AAC3332"/>
    <w:rsid w:val="5ADE2A67"/>
    <w:rsid w:val="5AED6D33"/>
    <w:rsid w:val="5AFC4E9F"/>
    <w:rsid w:val="5AFE1DDF"/>
    <w:rsid w:val="5B14320E"/>
    <w:rsid w:val="5B18551E"/>
    <w:rsid w:val="5B503E8B"/>
    <w:rsid w:val="5B551512"/>
    <w:rsid w:val="5B5F2152"/>
    <w:rsid w:val="5B8B59E3"/>
    <w:rsid w:val="5B9F0927"/>
    <w:rsid w:val="5BAA0C46"/>
    <w:rsid w:val="5BBB1A7E"/>
    <w:rsid w:val="5BE44E34"/>
    <w:rsid w:val="5BE66F57"/>
    <w:rsid w:val="5BF1724E"/>
    <w:rsid w:val="5BFF15A3"/>
    <w:rsid w:val="5C0276AD"/>
    <w:rsid w:val="5C1E5B4F"/>
    <w:rsid w:val="5C34538D"/>
    <w:rsid w:val="5C5B2DD4"/>
    <w:rsid w:val="5C6A5252"/>
    <w:rsid w:val="5CA0080E"/>
    <w:rsid w:val="5CA25C35"/>
    <w:rsid w:val="5CA67F0E"/>
    <w:rsid w:val="5CB70DE5"/>
    <w:rsid w:val="5CCE7744"/>
    <w:rsid w:val="5CD65A6D"/>
    <w:rsid w:val="5CD92B33"/>
    <w:rsid w:val="5CE045A0"/>
    <w:rsid w:val="5CF35A61"/>
    <w:rsid w:val="5D270A6A"/>
    <w:rsid w:val="5D296EBB"/>
    <w:rsid w:val="5D431D2B"/>
    <w:rsid w:val="5D513680"/>
    <w:rsid w:val="5D5E4DB7"/>
    <w:rsid w:val="5D6567A1"/>
    <w:rsid w:val="5D7E2D63"/>
    <w:rsid w:val="5DEA21A7"/>
    <w:rsid w:val="5DED613B"/>
    <w:rsid w:val="5E1345A6"/>
    <w:rsid w:val="5E145476"/>
    <w:rsid w:val="5E2603C6"/>
    <w:rsid w:val="5E615FB8"/>
    <w:rsid w:val="5E6C38A7"/>
    <w:rsid w:val="5EA7453C"/>
    <w:rsid w:val="5EBB0DA4"/>
    <w:rsid w:val="5ECB6E94"/>
    <w:rsid w:val="5ED35331"/>
    <w:rsid w:val="5ED846F5"/>
    <w:rsid w:val="5EE97964"/>
    <w:rsid w:val="5EED4009"/>
    <w:rsid w:val="5F021772"/>
    <w:rsid w:val="5F2B7CB5"/>
    <w:rsid w:val="5F30722F"/>
    <w:rsid w:val="5F3C4C84"/>
    <w:rsid w:val="5F3F29C6"/>
    <w:rsid w:val="5F5D7242"/>
    <w:rsid w:val="5F7801DD"/>
    <w:rsid w:val="5F912710"/>
    <w:rsid w:val="5F93061C"/>
    <w:rsid w:val="5FA665A1"/>
    <w:rsid w:val="5FAF7285"/>
    <w:rsid w:val="5FB27A3B"/>
    <w:rsid w:val="5FB773B9"/>
    <w:rsid w:val="5FC44C79"/>
    <w:rsid w:val="5FD41360"/>
    <w:rsid w:val="5FD517CA"/>
    <w:rsid w:val="5FE570CA"/>
    <w:rsid w:val="5FE7029D"/>
    <w:rsid w:val="5FF612D7"/>
    <w:rsid w:val="60074C26"/>
    <w:rsid w:val="60275934"/>
    <w:rsid w:val="60342C29"/>
    <w:rsid w:val="603C74D7"/>
    <w:rsid w:val="60477D84"/>
    <w:rsid w:val="60501489"/>
    <w:rsid w:val="60625267"/>
    <w:rsid w:val="606C77EB"/>
    <w:rsid w:val="607644CB"/>
    <w:rsid w:val="60C21A68"/>
    <w:rsid w:val="60CC2038"/>
    <w:rsid w:val="60E47C7F"/>
    <w:rsid w:val="610F3942"/>
    <w:rsid w:val="6110461A"/>
    <w:rsid w:val="613C73A3"/>
    <w:rsid w:val="61601F4C"/>
    <w:rsid w:val="6175423B"/>
    <w:rsid w:val="617C2BE7"/>
    <w:rsid w:val="61C6117D"/>
    <w:rsid w:val="61E82848"/>
    <w:rsid w:val="61F3275E"/>
    <w:rsid w:val="620123FA"/>
    <w:rsid w:val="62055A75"/>
    <w:rsid w:val="62136241"/>
    <w:rsid w:val="62361E5F"/>
    <w:rsid w:val="62477005"/>
    <w:rsid w:val="62751389"/>
    <w:rsid w:val="62960B4F"/>
    <w:rsid w:val="62C90F25"/>
    <w:rsid w:val="62DB0C58"/>
    <w:rsid w:val="62E832BC"/>
    <w:rsid w:val="62EC6826"/>
    <w:rsid w:val="63304112"/>
    <w:rsid w:val="634D7596"/>
    <w:rsid w:val="63536A40"/>
    <w:rsid w:val="63586547"/>
    <w:rsid w:val="635B0B72"/>
    <w:rsid w:val="63757946"/>
    <w:rsid w:val="63892462"/>
    <w:rsid w:val="63B75342"/>
    <w:rsid w:val="63CA3114"/>
    <w:rsid w:val="63D519FA"/>
    <w:rsid w:val="63D74AAF"/>
    <w:rsid w:val="63E85179"/>
    <w:rsid w:val="641F6DAC"/>
    <w:rsid w:val="644A7E43"/>
    <w:rsid w:val="6462603B"/>
    <w:rsid w:val="64A25D8F"/>
    <w:rsid w:val="64A84B6A"/>
    <w:rsid w:val="64CE37B2"/>
    <w:rsid w:val="64D22CE6"/>
    <w:rsid w:val="65254D57"/>
    <w:rsid w:val="654C3747"/>
    <w:rsid w:val="656C3DE9"/>
    <w:rsid w:val="659A2704"/>
    <w:rsid w:val="65B01973"/>
    <w:rsid w:val="65F14FDB"/>
    <w:rsid w:val="660B4B1B"/>
    <w:rsid w:val="665772A7"/>
    <w:rsid w:val="668A075D"/>
    <w:rsid w:val="668E15B5"/>
    <w:rsid w:val="66901C8E"/>
    <w:rsid w:val="66A12CE9"/>
    <w:rsid w:val="66A80E51"/>
    <w:rsid w:val="66D73C13"/>
    <w:rsid w:val="67037D22"/>
    <w:rsid w:val="672662CA"/>
    <w:rsid w:val="67310E46"/>
    <w:rsid w:val="673213DD"/>
    <w:rsid w:val="676924E6"/>
    <w:rsid w:val="677B6565"/>
    <w:rsid w:val="67B6134C"/>
    <w:rsid w:val="67E57255"/>
    <w:rsid w:val="67FC4F1C"/>
    <w:rsid w:val="6828189F"/>
    <w:rsid w:val="68387EE8"/>
    <w:rsid w:val="683F7F8F"/>
    <w:rsid w:val="684E77D6"/>
    <w:rsid w:val="68503C5F"/>
    <w:rsid w:val="685A261F"/>
    <w:rsid w:val="685C7FAA"/>
    <w:rsid w:val="685F7C35"/>
    <w:rsid w:val="686A6FFD"/>
    <w:rsid w:val="68923B67"/>
    <w:rsid w:val="68D909BE"/>
    <w:rsid w:val="69055E04"/>
    <w:rsid w:val="6910780F"/>
    <w:rsid w:val="69126A56"/>
    <w:rsid w:val="692A72C7"/>
    <w:rsid w:val="69387C83"/>
    <w:rsid w:val="693A6327"/>
    <w:rsid w:val="695E75F3"/>
    <w:rsid w:val="695F7B0E"/>
    <w:rsid w:val="696C6547"/>
    <w:rsid w:val="69875CFA"/>
    <w:rsid w:val="699A4104"/>
    <w:rsid w:val="699D1FE1"/>
    <w:rsid w:val="69B845BD"/>
    <w:rsid w:val="69DD2ECD"/>
    <w:rsid w:val="69EE4513"/>
    <w:rsid w:val="69F010C1"/>
    <w:rsid w:val="6A1916CD"/>
    <w:rsid w:val="6A2E78BF"/>
    <w:rsid w:val="6A3D33AB"/>
    <w:rsid w:val="6A3F78B1"/>
    <w:rsid w:val="6A641F0D"/>
    <w:rsid w:val="6A8219BA"/>
    <w:rsid w:val="6A8804BD"/>
    <w:rsid w:val="6A8F7B5D"/>
    <w:rsid w:val="6ABA73A5"/>
    <w:rsid w:val="6ADA6B38"/>
    <w:rsid w:val="6AEF725B"/>
    <w:rsid w:val="6B204C86"/>
    <w:rsid w:val="6B506FBE"/>
    <w:rsid w:val="6B8E4AB9"/>
    <w:rsid w:val="6B9C07B8"/>
    <w:rsid w:val="6BCE61E8"/>
    <w:rsid w:val="6BDFAB0A"/>
    <w:rsid w:val="6BFC4233"/>
    <w:rsid w:val="6C0134DD"/>
    <w:rsid w:val="6C25467B"/>
    <w:rsid w:val="6C3A3E6E"/>
    <w:rsid w:val="6C703B94"/>
    <w:rsid w:val="6C996646"/>
    <w:rsid w:val="6C9F3448"/>
    <w:rsid w:val="6CB22A29"/>
    <w:rsid w:val="6CB71DEE"/>
    <w:rsid w:val="6CC45FBE"/>
    <w:rsid w:val="6CF03552"/>
    <w:rsid w:val="6D0232BB"/>
    <w:rsid w:val="6D5939A1"/>
    <w:rsid w:val="6D6A3304"/>
    <w:rsid w:val="6D8819DC"/>
    <w:rsid w:val="6DB36A59"/>
    <w:rsid w:val="6DD14E76"/>
    <w:rsid w:val="6DDE3F28"/>
    <w:rsid w:val="6DF20BCA"/>
    <w:rsid w:val="6E026C93"/>
    <w:rsid w:val="6E530D46"/>
    <w:rsid w:val="6E6957BE"/>
    <w:rsid w:val="6E7A1325"/>
    <w:rsid w:val="6E8D6DD6"/>
    <w:rsid w:val="6E906D9A"/>
    <w:rsid w:val="6E922876"/>
    <w:rsid w:val="6EAB7730"/>
    <w:rsid w:val="6EB32A89"/>
    <w:rsid w:val="6EBB3A4D"/>
    <w:rsid w:val="6EEA3447"/>
    <w:rsid w:val="6F250095"/>
    <w:rsid w:val="6F257A91"/>
    <w:rsid w:val="6F3631A1"/>
    <w:rsid w:val="6F4B0F78"/>
    <w:rsid w:val="6F7FE37A"/>
    <w:rsid w:val="6FC8711C"/>
    <w:rsid w:val="6FE1382A"/>
    <w:rsid w:val="6FE34E7C"/>
    <w:rsid w:val="6FE7054D"/>
    <w:rsid w:val="6FE969BF"/>
    <w:rsid w:val="6FEF189F"/>
    <w:rsid w:val="702B1E5E"/>
    <w:rsid w:val="707C622C"/>
    <w:rsid w:val="709954EE"/>
    <w:rsid w:val="70AA65BB"/>
    <w:rsid w:val="70B42B45"/>
    <w:rsid w:val="70C3128F"/>
    <w:rsid w:val="70FB7041"/>
    <w:rsid w:val="71130EFB"/>
    <w:rsid w:val="71B049BF"/>
    <w:rsid w:val="71BC1C54"/>
    <w:rsid w:val="71BC7481"/>
    <w:rsid w:val="71E4568E"/>
    <w:rsid w:val="71FB277D"/>
    <w:rsid w:val="72174304"/>
    <w:rsid w:val="72190E55"/>
    <w:rsid w:val="72212AAA"/>
    <w:rsid w:val="72247F25"/>
    <w:rsid w:val="72273572"/>
    <w:rsid w:val="72367C59"/>
    <w:rsid w:val="72477770"/>
    <w:rsid w:val="72936E59"/>
    <w:rsid w:val="72C35869"/>
    <w:rsid w:val="7316586B"/>
    <w:rsid w:val="73280758"/>
    <w:rsid w:val="73487C44"/>
    <w:rsid w:val="73AD3F4B"/>
    <w:rsid w:val="73C31078"/>
    <w:rsid w:val="73D149EF"/>
    <w:rsid w:val="73D47729"/>
    <w:rsid w:val="73F21394"/>
    <w:rsid w:val="73F6235F"/>
    <w:rsid w:val="746551E1"/>
    <w:rsid w:val="74817FF6"/>
    <w:rsid w:val="74AC4202"/>
    <w:rsid w:val="74BC1AFC"/>
    <w:rsid w:val="74C41977"/>
    <w:rsid w:val="74D01616"/>
    <w:rsid w:val="74D70DF7"/>
    <w:rsid w:val="74DE4FB2"/>
    <w:rsid w:val="74EB3FA6"/>
    <w:rsid w:val="74EE0377"/>
    <w:rsid w:val="750C56AD"/>
    <w:rsid w:val="75175195"/>
    <w:rsid w:val="75404111"/>
    <w:rsid w:val="75840CDB"/>
    <w:rsid w:val="75C61BD7"/>
    <w:rsid w:val="75CF2BD1"/>
    <w:rsid w:val="75DC6B59"/>
    <w:rsid w:val="7610256F"/>
    <w:rsid w:val="76C24506"/>
    <w:rsid w:val="76ED5EB6"/>
    <w:rsid w:val="771C36BA"/>
    <w:rsid w:val="773FE678"/>
    <w:rsid w:val="77444D05"/>
    <w:rsid w:val="774A3F76"/>
    <w:rsid w:val="779F287A"/>
    <w:rsid w:val="77B51620"/>
    <w:rsid w:val="77E43CB3"/>
    <w:rsid w:val="77F47C37"/>
    <w:rsid w:val="78072C51"/>
    <w:rsid w:val="780F3479"/>
    <w:rsid w:val="78300CA6"/>
    <w:rsid w:val="78322C70"/>
    <w:rsid w:val="7860333A"/>
    <w:rsid w:val="788D31FB"/>
    <w:rsid w:val="789A5C0B"/>
    <w:rsid w:val="789F3DA6"/>
    <w:rsid w:val="78A52377"/>
    <w:rsid w:val="78A720A7"/>
    <w:rsid w:val="78BA30FC"/>
    <w:rsid w:val="78ED276C"/>
    <w:rsid w:val="78FB35DD"/>
    <w:rsid w:val="791B2483"/>
    <w:rsid w:val="7929584B"/>
    <w:rsid w:val="793A57D7"/>
    <w:rsid w:val="79492020"/>
    <w:rsid w:val="795F5CE7"/>
    <w:rsid w:val="7963154D"/>
    <w:rsid w:val="796763D4"/>
    <w:rsid w:val="79AA4693"/>
    <w:rsid w:val="79D030E6"/>
    <w:rsid w:val="79FF1772"/>
    <w:rsid w:val="7A08012D"/>
    <w:rsid w:val="7A947711"/>
    <w:rsid w:val="7AA250E3"/>
    <w:rsid w:val="7AF37FDD"/>
    <w:rsid w:val="7B5B7497"/>
    <w:rsid w:val="7B7B05F3"/>
    <w:rsid w:val="7B8C7C65"/>
    <w:rsid w:val="7BF070CA"/>
    <w:rsid w:val="7C112AF8"/>
    <w:rsid w:val="7C184FB7"/>
    <w:rsid w:val="7C3D78E2"/>
    <w:rsid w:val="7C653AB3"/>
    <w:rsid w:val="7C7F3FAA"/>
    <w:rsid w:val="7C832CED"/>
    <w:rsid w:val="7C8F459A"/>
    <w:rsid w:val="7C910466"/>
    <w:rsid w:val="7C97D028"/>
    <w:rsid w:val="7CBB6569"/>
    <w:rsid w:val="7CC239D9"/>
    <w:rsid w:val="7CD5042A"/>
    <w:rsid w:val="7CFB22F6"/>
    <w:rsid w:val="7D042CCF"/>
    <w:rsid w:val="7D0B583E"/>
    <w:rsid w:val="7D24527D"/>
    <w:rsid w:val="7D2708CA"/>
    <w:rsid w:val="7D3D0BFB"/>
    <w:rsid w:val="7D3D1538"/>
    <w:rsid w:val="7D514CC4"/>
    <w:rsid w:val="7D537F01"/>
    <w:rsid w:val="7D614864"/>
    <w:rsid w:val="7D7C31C0"/>
    <w:rsid w:val="7D910439"/>
    <w:rsid w:val="7D9605EE"/>
    <w:rsid w:val="7DBF0B02"/>
    <w:rsid w:val="7DD50157"/>
    <w:rsid w:val="7DF764EE"/>
    <w:rsid w:val="7E192908"/>
    <w:rsid w:val="7E1F1AC3"/>
    <w:rsid w:val="7E4378B3"/>
    <w:rsid w:val="7E4876F1"/>
    <w:rsid w:val="7E4F56A7"/>
    <w:rsid w:val="7E5D029C"/>
    <w:rsid w:val="7E713B7F"/>
    <w:rsid w:val="7EB20667"/>
    <w:rsid w:val="7EC65EC0"/>
    <w:rsid w:val="7EC81C39"/>
    <w:rsid w:val="7ECD54A1"/>
    <w:rsid w:val="7F0C4C8F"/>
    <w:rsid w:val="7F27742A"/>
    <w:rsid w:val="7F382028"/>
    <w:rsid w:val="7F532AE0"/>
    <w:rsid w:val="7F657487"/>
    <w:rsid w:val="7FB35A70"/>
    <w:rsid w:val="7FC06066"/>
    <w:rsid w:val="7FC20D7E"/>
    <w:rsid w:val="7FDF8BFB"/>
    <w:rsid w:val="7FFA3A5E"/>
    <w:rsid w:val="BEDB8C67"/>
    <w:rsid w:val="C5FA53BE"/>
    <w:rsid w:val="DBFF5702"/>
    <w:rsid w:val="DF7AA2D7"/>
    <w:rsid w:val="E9256F1E"/>
    <w:rsid w:val="FDB961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8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84"/>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5"/>
    <w:qFormat/>
    <w:uiPriority w:val="0"/>
    <w:pPr>
      <w:adjustRightInd w:val="0"/>
      <w:spacing w:line="360" w:lineRule="atLeast"/>
      <w:jc w:val="left"/>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7"/>
    <w:qFormat/>
    <w:uiPriority w:val="0"/>
  </w:style>
  <w:style w:type="paragraph" w:styleId="33">
    <w:name w:val="Body Text Indent 2"/>
    <w:basedOn w:val="34"/>
    <w:link w:val="88"/>
    <w:qFormat/>
    <w:uiPriority w:val="0"/>
    <w:pPr>
      <w:snapToGrid w:val="0"/>
      <w:spacing w:line="560" w:lineRule="atLeast"/>
      <w:ind w:firstLine="540"/>
    </w:pPr>
  </w:style>
  <w:style w:type="paragraph" w:customStyle="1" w:styleId="34">
    <w:name w:val="正文1"/>
    <w:basedOn w:val="1"/>
    <w:next w:val="1"/>
    <w:qFormat/>
    <w:uiPriority w:val="0"/>
    <w:pPr>
      <w:spacing w:line="300" w:lineRule="auto"/>
      <w:ind w:firstLine="200" w:firstLineChars="200"/>
    </w:pPr>
    <w:rPr>
      <w:sz w:val="24"/>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eastAsia="宋体" w:cs="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List"/>
    <w:basedOn w:val="1"/>
    <w:semiHidden/>
    <w:qFormat/>
    <w:uiPriority w:val="0"/>
    <w:pPr>
      <w:ind w:left="200" w:hanging="200" w:hangingChars="200"/>
    </w:pPr>
  </w:style>
  <w:style w:type="paragraph" w:styleId="43">
    <w:name w:val="footnote text"/>
    <w:basedOn w:val="1"/>
    <w:link w:val="89"/>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kern w:val="28"/>
      <w:sz w:val="36"/>
      <w:lang w:eastAsia="en-US"/>
    </w:rPr>
  </w:style>
  <w:style w:type="paragraph" w:styleId="57">
    <w:name w:val="annotation subject"/>
    <w:basedOn w:val="20"/>
    <w:next w:val="20"/>
    <w:link w:val="90"/>
    <w:qFormat/>
    <w:uiPriority w:val="0"/>
    <w:pPr>
      <w:adjustRightInd/>
      <w:spacing w:line="240" w:lineRule="auto"/>
    </w:pPr>
  </w:style>
  <w:style w:type="paragraph" w:styleId="58">
    <w:name w:val="Body Text First Indent"/>
    <w:basedOn w:val="2"/>
    <w:qFormat/>
    <w:uiPriority w:val="0"/>
    <w:pPr>
      <w:spacing w:line="360" w:lineRule="auto"/>
      <w:ind w:firstLine="420"/>
    </w:pPr>
    <w:rPr>
      <w:rFonts w:ascii="宋体" w:hAnsi="宋体"/>
      <w:sz w:val="24"/>
    </w:rPr>
  </w:style>
  <w:style w:type="paragraph" w:styleId="59">
    <w:name w:val="Body Text First Indent 2"/>
    <w:basedOn w:val="23"/>
    <w:next w:val="1"/>
    <w:link w:val="91"/>
    <w:qFormat/>
    <w:uiPriority w:val="0"/>
    <w:pPr>
      <w:spacing w:after="12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basedOn w:val="62"/>
    <w:qFormat/>
    <w:uiPriority w:val="22"/>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basedOn w:val="62"/>
    <w:qFormat/>
    <w:uiPriority w:val="0"/>
  </w:style>
  <w:style w:type="character" w:styleId="67">
    <w:name w:val="HTML Definition"/>
    <w:basedOn w:val="62"/>
    <w:qFormat/>
    <w:uiPriority w:val="0"/>
  </w:style>
  <w:style w:type="character" w:styleId="68">
    <w:name w:val="HTML Typewriter"/>
    <w:basedOn w:val="62"/>
    <w:qFormat/>
    <w:uiPriority w:val="0"/>
    <w:rPr>
      <w:rFonts w:hint="default" w:ascii="monospace" w:hAnsi="monospace" w:eastAsia="monospace" w:cs="monospace"/>
      <w:sz w:val="20"/>
    </w:rPr>
  </w:style>
  <w:style w:type="character" w:styleId="69">
    <w:name w:val="HTML Acronym"/>
    <w:basedOn w:val="62"/>
    <w:qFormat/>
    <w:uiPriority w:val="0"/>
  </w:style>
  <w:style w:type="character" w:styleId="70">
    <w:name w:val="HTML Variable"/>
    <w:basedOn w:val="62"/>
    <w:qFormat/>
    <w:uiPriority w:val="0"/>
  </w:style>
  <w:style w:type="character" w:styleId="71">
    <w:name w:val="Hyperlink"/>
    <w:qFormat/>
    <w:uiPriority w:val="99"/>
    <w:rPr>
      <w:color w:val="0000FF"/>
      <w:u w:val="single"/>
    </w:rPr>
  </w:style>
  <w:style w:type="character" w:styleId="72">
    <w:name w:val="HTML Code"/>
    <w:basedOn w:val="62"/>
    <w:qFormat/>
    <w:uiPriority w:val="0"/>
    <w:rPr>
      <w:rFonts w:hint="default" w:ascii="monospace" w:hAnsi="monospace" w:eastAsia="monospace" w:cs="monospace"/>
      <w:sz w:val="20"/>
    </w:rPr>
  </w:style>
  <w:style w:type="character" w:styleId="73">
    <w:name w:val="annotation reference"/>
    <w:qFormat/>
    <w:uiPriority w:val="0"/>
    <w:rPr>
      <w:sz w:val="21"/>
      <w:szCs w:val="21"/>
    </w:rPr>
  </w:style>
  <w:style w:type="character" w:styleId="74">
    <w:name w:val="HTML Cite"/>
    <w:basedOn w:val="62"/>
    <w:qFormat/>
    <w:uiPriority w:val="0"/>
  </w:style>
  <w:style w:type="character" w:styleId="75">
    <w:name w:val="footnote reference"/>
    <w:qFormat/>
    <w:uiPriority w:val="0"/>
    <w:rPr>
      <w:position w:val="6"/>
      <w:sz w:val="14"/>
      <w:vertAlign w:val="superscript"/>
    </w:rPr>
  </w:style>
  <w:style w:type="character" w:styleId="76">
    <w:name w:val="HTML Keyboard"/>
    <w:basedOn w:val="62"/>
    <w:qFormat/>
    <w:uiPriority w:val="0"/>
    <w:rPr>
      <w:rFonts w:ascii="monospace" w:hAnsi="monospace" w:eastAsia="monospace" w:cs="monospace"/>
      <w:sz w:val="20"/>
    </w:rPr>
  </w:style>
  <w:style w:type="character" w:styleId="77">
    <w:name w:val="HTML Sample"/>
    <w:basedOn w:val="62"/>
    <w:qFormat/>
    <w:uiPriority w:val="0"/>
    <w:rPr>
      <w:rFonts w:hint="default" w:ascii="monospace" w:hAnsi="monospace" w:eastAsia="monospace" w:cs="monospace"/>
    </w:rPr>
  </w:style>
  <w:style w:type="paragraph" w:customStyle="1" w:styleId="78">
    <w:name w:val="BodyText"/>
    <w:basedOn w:val="1"/>
    <w:next w:val="79"/>
    <w:qFormat/>
    <w:uiPriority w:val="0"/>
    <w:pPr>
      <w:textAlignment w:val="baseline"/>
    </w:pPr>
    <w:rPr>
      <w:rFonts w:ascii="仿宋_GB2312" w:eastAsia="仿宋_GB2312"/>
      <w:sz w:val="32"/>
    </w:rPr>
  </w:style>
  <w:style w:type="paragraph" w:customStyle="1" w:styleId="79">
    <w:name w:val="BodyTextIndent"/>
    <w:basedOn w:val="1"/>
    <w:qFormat/>
    <w:uiPriority w:val="0"/>
    <w:pPr>
      <w:spacing w:line="700" w:lineRule="exact"/>
      <w:ind w:left="960"/>
      <w:textAlignment w:val="baseline"/>
    </w:pPr>
    <w:rPr>
      <w:sz w:val="44"/>
    </w:rPr>
  </w:style>
  <w:style w:type="paragraph" w:customStyle="1" w:styleId="8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1">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82">
    <w:name w:val="标书正文1"/>
    <w:basedOn w:val="1"/>
    <w:qFormat/>
    <w:uiPriority w:val="0"/>
    <w:pPr>
      <w:spacing w:line="520" w:lineRule="exact"/>
      <w:ind w:firstLine="640" w:firstLineChars="200"/>
    </w:pPr>
  </w:style>
  <w:style w:type="character" w:customStyle="1" w:styleId="83">
    <w:name w:val="标题 2 Char"/>
    <w:link w:val="4"/>
    <w:qFormat/>
    <w:uiPriority w:val="0"/>
    <w:rPr>
      <w:rFonts w:ascii="Arial" w:hAnsi="Arial" w:eastAsia="黑体"/>
      <w:b/>
      <w:kern w:val="2"/>
      <w:sz w:val="32"/>
    </w:rPr>
  </w:style>
  <w:style w:type="character" w:customStyle="1" w:styleId="84">
    <w:name w:val="标题 3 Char"/>
    <w:link w:val="5"/>
    <w:qFormat/>
    <w:uiPriority w:val="0"/>
    <w:rPr>
      <w:rFonts w:eastAsia="宋体"/>
      <w:b/>
      <w:kern w:val="2"/>
      <w:sz w:val="32"/>
      <w:lang w:val="en-US" w:eastAsia="zh-CN"/>
    </w:rPr>
  </w:style>
  <w:style w:type="character" w:customStyle="1" w:styleId="85">
    <w:name w:val="批注文字 Char"/>
    <w:link w:val="20"/>
    <w:qFormat/>
    <w:uiPriority w:val="0"/>
    <w:rPr>
      <w:sz w:val="24"/>
    </w:rPr>
  </w:style>
  <w:style w:type="character" w:customStyle="1" w:styleId="86">
    <w:name w:val="正文文本缩进 Char"/>
    <w:link w:val="23"/>
    <w:qFormat/>
    <w:uiPriority w:val="0"/>
    <w:rPr>
      <w:kern w:val="2"/>
      <w:sz w:val="44"/>
    </w:rPr>
  </w:style>
  <w:style w:type="character" w:customStyle="1" w:styleId="87">
    <w:name w:val="日期 Char"/>
    <w:link w:val="32"/>
    <w:qFormat/>
    <w:uiPriority w:val="0"/>
    <w:rPr>
      <w:kern w:val="2"/>
      <w:sz w:val="28"/>
    </w:rPr>
  </w:style>
  <w:style w:type="character" w:customStyle="1" w:styleId="88">
    <w:name w:val="正文文本缩进 2 Char"/>
    <w:link w:val="33"/>
    <w:qFormat/>
    <w:uiPriority w:val="0"/>
    <w:rPr>
      <w:kern w:val="2"/>
      <w:sz w:val="28"/>
    </w:rPr>
  </w:style>
  <w:style w:type="character" w:customStyle="1" w:styleId="89">
    <w:name w:val="脚注文本 Char"/>
    <w:link w:val="43"/>
    <w:qFormat/>
    <w:uiPriority w:val="0"/>
    <w:rPr>
      <w:kern w:val="2"/>
      <w:sz w:val="18"/>
    </w:rPr>
  </w:style>
  <w:style w:type="character" w:customStyle="1" w:styleId="90">
    <w:name w:val="批注主题 Char"/>
    <w:link w:val="57"/>
    <w:qFormat/>
    <w:uiPriority w:val="0"/>
  </w:style>
  <w:style w:type="character" w:customStyle="1" w:styleId="91">
    <w:name w:val="正文首行缩进 2 Char"/>
    <w:link w:val="59"/>
    <w:qFormat/>
    <w:uiPriority w:val="0"/>
  </w:style>
  <w:style w:type="character" w:customStyle="1" w:styleId="92">
    <w:name w:val="v151"/>
    <w:qFormat/>
    <w:uiPriority w:val="0"/>
    <w:rPr>
      <w:sz w:val="18"/>
    </w:rPr>
  </w:style>
  <w:style w:type="character" w:customStyle="1" w:styleId="93">
    <w:name w:val="Char Char7"/>
    <w:qFormat/>
    <w:uiPriority w:val="0"/>
    <w:rPr>
      <w:rFonts w:ascii="宋体" w:hAnsi="宋体" w:eastAsia="宋体"/>
      <w:kern w:val="2"/>
      <w:sz w:val="28"/>
    </w:rPr>
  </w:style>
  <w:style w:type="character" w:customStyle="1" w:styleId="94">
    <w:name w:val="小 Char"/>
    <w:qFormat/>
    <w:uiPriority w:val="0"/>
    <w:rPr>
      <w:rFonts w:ascii="宋体" w:hAnsi="Courier New" w:eastAsia="宋体"/>
      <w:kern w:val="2"/>
      <w:sz w:val="21"/>
      <w:lang w:val="en-US" w:eastAsia="zh-CN" w:bidi="ar-SA"/>
    </w:rPr>
  </w:style>
  <w:style w:type="character" w:customStyle="1" w:styleId="95">
    <w:name w:val="文字 Char"/>
    <w:link w:val="96"/>
    <w:qFormat/>
    <w:uiPriority w:val="0"/>
    <w:rPr>
      <w:rFonts w:ascii="宋体"/>
      <w:kern w:val="2"/>
      <w:sz w:val="28"/>
    </w:rPr>
  </w:style>
  <w:style w:type="paragraph" w:customStyle="1" w:styleId="96">
    <w:name w:val="文字"/>
    <w:basedOn w:val="1"/>
    <w:link w:val="95"/>
    <w:qFormat/>
    <w:uiPriority w:val="0"/>
    <w:pPr>
      <w:tabs>
        <w:tab w:val="left" w:pos="8520"/>
      </w:tabs>
      <w:spacing w:line="312" w:lineRule="auto"/>
      <w:ind w:right="-210" w:firstLine="556"/>
    </w:pPr>
    <w:rPr>
      <w:rFonts w:ascii="宋体"/>
    </w:rPr>
  </w:style>
  <w:style w:type="character" w:customStyle="1" w:styleId="97">
    <w:name w:val="content-white1"/>
    <w:qFormat/>
    <w:uiPriority w:val="0"/>
    <w:rPr>
      <w:rFonts w:ascii="_x000B__x000C_" w:hAnsi="_x000B__x000C_"/>
      <w:color w:val="auto"/>
      <w:sz w:val="18"/>
      <w:u w:val="none"/>
    </w:rPr>
  </w:style>
  <w:style w:type="character" w:customStyle="1" w:styleId="98">
    <w:name w:val="正文 + 三号 Char"/>
    <w:qFormat/>
    <w:uiPriority w:val="0"/>
    <w:rPr>
      <w:rFonts w:eastAsia="宋体"/>
      <w:kern w:val="2"/>
      <w:sz w:val="21"/>
      <w:lang w:val="en-US" w:eastAsia="zh-CN"/>
    </w:rPr>
  </w:style>
  <w:style w:type="character" w:customStyle="1" w:styleId="99">
    <w:name w:val="H2 Char"/>
    <w:qFormat/>
    <w:uiPriority w:val="0"/>
    <w:rPr>
      <w:rFonts w:ascii="Arial" w:hAnsi="Arial" w:eastAsia="宋体"/>
      <w:kern w:val="2"/>
      <w:sz w:val="28"/>
      <w:lang w:val="en-US" w:eastAsia="zh-CN"/>
    </w:rPr>
  </w:style>
  <w:style w:type="character" w:customStyle="1" w:styleId="100">
    <w:name w:val="Char Char3"/>
    <w:qFormat/>
    <w:uiPriority w:val="0"/>
    <w:rPr>
      <w:rFonts w:eastAsia="宋体"/>
      <w:kern w:val="2"/>
      <w:sz w:val="18"/>
      <w:lang w:val="en-US" w:eastAsia="zh-CN"/>
    </w:rPr>
  </w:style>
  <w:style w:type="character" w:customStyle="1" w:styleId="101">
    <w:name w:val="Char Char4"/>
    <w:qFormat/>
    <w:uiPriority w:val="0"/>
    <w:rPr>
      <w:rFonts w:eastAsia="宋体"/>
      <w:b/>
      <w:kern w:val="2"/>
      <w:sz w:val="21"/>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5"/>
    <w:qFormat/>
    <w:uiPriority w:val="0"/>
    <w:rPr>
      <w:rFonts w:ascii="Arial" w:hAnsi="Arial" w:eastAsia="宋体"/>
      <w:b/>
      <w:kern w:val="28"/>
      <w:sz w:val="36"/>
      <w:lang w:val="en-US" w:eastAsia="en-US"/>
    </w:rPr>
  </w:style>
  <w:style w:type="character" w:customStyle="1" w:styleId="104">
    <w:name w:val="Char Char"/>
    <w:qFormat/>
    <w:uiPriority w:val="0"/>
    <w:rPr>
      <w:rFonts w:ascii="宋体" w:hAnsi="宋体" w:eastAsia="宋体"/>
      <w:kern w:val="2"/>
      <w:sz w:val="24"/>
      <w:lang w:val="en-US" w:eastAsia="zh-CN" w:bidi="ar-SA"/>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Table Text Char Char Char Char"/>
    <w:link w:val="107"/>
    <w:qFormat/>
    <w:uiPriority w:val="0"/>
    <w:rPr>
      <w:rFonts w:ascii="Arial" w:hAnsi="Arial"/>
      <w:kern w:val="2"/>
      <w:sz w:val="18"/>
      <w:lang w:val="en-US" w:eastAsia="zh-CN" w:bidi="ar-SA"/>
    </w:rPr>
  </w:style>
  <w:style w:type="paragraph" w:customStyle="1" w:styleId="107">
    <w:name w:val="Table Text Char Char Char"/>
    <w:link w:val="106"/>
    <w:qFormat/>
    <w:uiPriority w:val="0"/>
    <w:pPr>
      <w:snapToGrid w:val="0"/>
      <w:spacing w:before="80" w:after="80"/>
    </w:pPr>
    <w:rPr>
      <w:rFonts w:ascii="Arial" w:hAnsi="Arial" w:eastAsia="宋体" w:cs="Times New Roman"/>
      <w:kern w:val="2"/>
      <w:sz w:val="18"/>
      <w:lang w:val="en-US" w:eastAsia="zh-CN" w:bidi="ar-SA"/>
    </w:rPr>
  </w:style>
  <w:style w:type="character" w:customStyle="1" w:styleId="108">
    <w:name w:val="Table Text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Char Char2"/>
    <w:qFormat/>
    <w:uiPriority w:val="0"/>
    <w:rPr>
      <w:rFonts w:eastAsia="宋体"/>
      <w:kern w:val="2"/>
      <w:sz w:val="18"/>
      <w:lang w:val="en-US" w:eastAsia="zh-CN"/>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样式 宋体"/>
    <w:qFormat/>
    <w:uiPriority w:val="0"/>
    <w:rPr>
      <w:rFonts w:ascii="宋体" w:hAnsi="宋体" w:eastAsia="宋体"/>
      <w:sz w:val="28"/>
    </w:rPr>
  </w:style>
  <w:style w:type="character" w:customStyle="1" w:styleId="113">
    <w:name w:val="未命名11"/>
    <w:qFormat/>
    <w:uiPriority w:val="0"/>
    <w:rPr>
      <w:color w:val="77FFFF"/>
      <w:sz w:val="24"/>
    </w:rPr>
  </w:style>
  <w:style w:type="character" w:customStyle="1" w:styleId="114">
    <w:name w:val="crowed11"/>
    <w:qFormat/>
    <w:uiPriority w:val="0"/>
    <w:rPr>
      <w:rFonts w:hint="default" w:ascii="_x000B__x000C_" w:hAnsi="_x000B__x000C_"/>
      <w:sz w:val="24"/>
    </w:rPr>
  </w:style>
  <w:style w:type="character" w:customStyle="1" w:styleId="115">
    <w:name w:val="Char Char6"/>
    <w:qFormat/>
    <w:uiPriority w:val="0"/>
    <w:rPr>
      <w:rFonts w:ascii="仿宋_GB2312" w:eastAsia="仿宋_GB2312"/>
      <w:kern w:val="2"/>
      <w:sz w:val="32"/>
    </w:rPr>
  </w:style>
  <w:style w:type="character" w:customStyle="1" w:styleId="116">
    <w:name w:val="title_emph1"/>
    <w:qFormat/>
    <w:uiPriority w:val="0"/>
    <w:rPr>
      <w:rFonts w:hint="default" w:ascii="Arial" w:hAnsi="Arial"/>
      <w:b/>
      <w:sz w:val="20"/>
    </w:rPr>
  </w:style>
  <w:style w:type="character" w:customStyle="1" w:styleId="117">
    <w:name w:val="font1"/>
    <w:qFormat/>
    <w:uiPriority w:val="0"/>
    <w:rPr>
      <w:color w:val="000000"/>
      <w:sz w:val="18"/>
    </w:rPr>
  </w:style>
  <w:style w:type="character" w:customStyle="1" w:styleId="118">
    <w:name w:val="Char Char11"/>
    <w:qFormat/>
    <w:uiPriority w:val="0"/>
    <w:rPr>
      <w:rFonts w:ascii="宋体"/>
      <w:kern w:val="2"/>
      <w:sz w:val="28"/>
    </w:rPr>
  </w:style>
  <w:style w:type="character" w:customStyle="1" w:styleId="119">
    <w:name w:val="top-det1"/>
    <w:qFormat/>
    <w:uiPriority w:val="0"/>
    <w:rPr>
      <w:b/>
      <w:color w:val="000000"/>
    </w:rPr>
  </w:style>
  <w:style w:type="paragraph" w:customStyle="1" w:styleId="120">
    <w:name w:val="二级列表"/>
    <w:basedOn w:val="121"/>
    <w:qFormat/>
    <w:uiPriority w:val="0"/>
    <w:pPr>
      <w:tabs>
        <w:tab w:val="left" w:pos="2120"/>
      </w:tabs>
      <w:ind w:firstLine="0" w:firstLineChars="0"/>
    </w:pPr>
    <w:rPr>
      <w:b/>
    </w:rPr>
  </w:style>
  <w:style w:type="paragraph" w:customStyle="1" w:styleId="121">
    <w:name w:val="段落正文"/>
    <w:basedOn w:val="1"/>
    <w:qFormat/>
    <w:uiPriority w:val="0"/>
    <w:pPr>
      <w:spacing w:before="156" w:beforeLines="50" w:line="360" w:lineRule="auto"/>
      <w:ind w:firstLine="200" w:firstLineChars="200"/>
    </w:pPr>
    <w:rPr>
      <w:spacing w:val="2"/>
      <w:sz w:val="24"/>
    </w:rPr>
  </w:style>
  <w:style w:type="paragraph" w:customStyle="1" w:styleId="122">
    <w:name w:val="标题3——2"/>
    <w:basedOn w:val="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23">
    <w:name w:val="文本1"/>
    <w:basedOn w:val="1"/>
    <w:qFormat/>
    <w:uiPriority w:val="0"/>
    <w:pPr>
      <w:adjustRightInd w:val="0"/>
      <w:spacing w:line="312" w:lineRule="atLeast"/>
      <w:jc w:val="center"/>
    </w:pPr>
    <w:rPr>
      <w:kern w:val="0"/>
      <w:sz w:val="18"/>
    </w:rPr>
  </w:style>
  <w:style w:type="paragraph" w:customStyle="1" w:styleId="124">
    <w:name w:val="Title - Revision"/>
    <w:basedOn w:val="56"/>
    <w:qFormat/>
    <w:uiPriority w:val="0"/>
    <w:pPr>
      <w:spacing w:before="720"/>
    </w:pPr>
  </w:style>
  <w:style w:type="paragraph" w:customStyle="1" w:styleId="1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27">
    <w:name w:val="二级条标题"/>
    <w:basedOn w:val="128"/>
    <w:qFormat/>
    <w:uiPriority w:val="0"/>
    <w:pPr>
      <w:ind w:left="840"/>
      <w:outlineLvl w:val="3"/>
    </w:pPr>
  </w:style>
  <w:style w:type="paragraph" w:customStyle="1" w:styleId="128">
    <w:name w:val="一级条标题"/>
    <w:basedOn w:val="129"/>
    <w:qFormat/>
    <w:uiPriority w:val="0"/>
    <w:pPr>
      <w:numPr>
        <w:numId w:val="0"/>
      </w:numPr>
      <w:spacing w:before="0" w:beforeLines="0" w:after="0" w:afterLines="0"/>
      <w:ind w:left="525"/>
      <w:outlineLvl w:val="2"/>
    </w:pPr>
    <w:rPr>
      <w:sz w:val="21"/>
    </w:rPr>
  </w:style>
  <w:style w:type="paragraph" w:customStyle="1" w:styleId="129">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3">
    <w:name w:val="编号正文"/>
    <w:basedOn w:val="134"/>
    <w:qFormat/>
    <w:uiPriority w:val="0"/>
    <w:pPr>
      <w:snapToGrid/>
      <w:spacing w:line="360" w:lineRule="auto"/>
      <w:ind w:left="1407" w:hanging="1047"/>
      <w:jc w:val="left"/>
    </w:pPr>
    <w:rPr>
      <w:rFonts w:eastAsia="仿宋_GB2312"/>
    </w:rPr>
  </w:style>
  <w:style w:type="paragraph" w:customStyle="1" w:styleId="134">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35">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136">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7">
    <w:name w:val="默认段落字体 Para Char Char Char Char Char Char Char Char Char1 Char Char Char Char"/>
    <w:basedOn w:val="1"/>
    <w:qFormat/>
    <w:uiPriority w:val="0"/>
    <w:rPr>
      <w:rFonts w:ascii="Tahoma" w:hAnsi="Tahoma"/>
      <w:sz w:val="24"/>
    </w:rPr>
  </w:style>
  <w:style w:type="paragraph" w:customStyle="1" w:styleId="13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0">
    <w:name w:val="Char Char14 Char Char"/>
    <w:basedOn w:val="1"/>
    <w:qFormat/>
    <w:uiPriority w:val="0"/>
    <w:rPr>
      <w:sz w:val="21"/>
      <w:szCs w:val="24"/>
    </w:rPr>
  </w:style>
  <w:style w:type="paragraph" w:customStyle="1" w:styleId="141">
    <w:name w:val="Char Char Char Char Char"/>
    <w:basedOn w:val="1"/>
    <w:qFormat/>
    <w:uiPriority w:val="0"/>
    <w:pPr>
      <w:tabs>
        <w:tab w:val="left" w:pos="425"/>
      </w:tabs>
      <w:ind w:left="1620" w:hanging="360"/>
    </w:pPr>
    <w:rPr>
      <w:rFonts w:ascii="Tahoma" w:hAnsi="Tahoma"/>
      <w:sz w:val="24"/>
    </w:rPr>
  </w:style>
  <w:style w:type="paragraph" w:customStyle="1" w:styleId="142">
    <w:name w:val="Char2 Char Char Char Char Char Char"/>
    <w:basedOn w:val="1"/>
    <w:qFormat/>
    <w:uiPriority w:val="0"/>
    <w:rPr>
      <w:rFonts w:ascii="仿宋_GB2312"/>
      <w:b/>
      <w:sz w:val="30"/>
    </w:rPr>
  </w:style>
  <w:style w:type="paragraph" w:customStyle="1" w:styleId="143">
    <w:name w:val="_Style 126"/>
    <w:qFormat/>
    <w:uiPriority w:val="0"/>
    <w:rPr>
      <w:rFonts w:ascii="Times New Roman" w:hAnsi="Times New Roman" w:eastAsia="宋体" w:cs="Times New Roman"/>
      <w:kern w:val="2"/>
      <w:sz w:val="21"/>
      <w:lang w:val="en-US" w:eastAsia="zh-CN" w:bidi="ar-SA"/>
    </w:rPr>
  </w:style>
  <w:style w:type="paragraph" w:customStyle="1" w:styleId="144">
    <w:name w:val="正文格式 Char"/>
    <w:basedOn w:val="1"/>
    <w:qFormat/>
    <w:uiPriority w:val="0"/>
    <w:pPr>
      <w:widowControl/>
      <w:adjustRightInd w:val="0"/>
      <w:spacing w:line="440" w:lineRule="atLeast"/>
      <w:ind w:firstLine="510"/>
    </w:pPr>
    <w:rPr>
      <w:kern w:val="0"/>
      <w:sz w:val="24"/>
    </w:rPr>
  </w:style>
  <w:style w:type="paragraph" w:customStyle="1" w:styleId="145">
    <w:name w:val="正文 + 三号"/>
    <w:basedOn w:val="1"/>
    <w:qFormat/>
    <w:uiPriority w:val="0"/>
    <w:rPr>
      <w:sz w:val="21"/>
    </w:rPr>
  </w:style>
  <w:style w:type="paragraph" w:customStyle="1" w:styleId="146">
    <w:name w:val="样式 首行缩进:  0.74 厘米"/>
    <w:basedOn w:val="1"/>
    <w:qFormat/>
    <w:uiPriority w:val="0"/>
    <w:pPr>
      <w:spacing w:line="360" w:lineRule="auto"/>
      <w:ind w:firstLine="420"/>
    </w:pPr>
    <w:rPr>
      <w:sz w:val="24"/>
    </w:rPr>
  </w:style>
  <w:style w:type="paragraph" w:customStyle="1" w:styleId="147">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4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0">
    <w:name w:val="Table Contents"/>
    <w:basedOn w:val="2"/>
    <w:qFormat/>
    <w:uiPriority w:val="0"/>
    <w:pPr>
      <w:suppressAutoHyphens/>
      <w:jc w:val="left"/>
    </w:pPr>
    <w:rPr>
      <w:rFonts w:ascii="Times New Roman" w:eastAsia="Times New Roman"/>
      <w:kern w:val="0"/>
      <w:sz w:val="24"/>
    </w:rPr>
  </w:style>
  <w:style w:type="paragraph" w:customStyle="1" w:styleId="151">
    <w:name w:val="表格文本"/>
    <w:qFormat/>
    <w:uiPriority w:val="0"/>
    <w:pPr>
      <w:tabs>
        <w:tab w:val="decimal" w:pos="0"/>
      </w:tabs>
    </w:pPr>
    <w:rPr>
      <w:rFonts w:ascii="Arial" w:hAnsi="Arial" w:eastAsia="宋体" w:cs="Times New Roman"/>
      <w:sz w:val="21"/>
      <w:lang w:val="en-US" w:eastAsia="zh-CN" w:bidi="ar-SA"/>
    </w:rPr>
  </w:style>
  <w:style w:type="paragraph" w:customStyle="1" w:styleId="152">
    <w:name w:val="Char Char Char Char Char Char Char"/>
    <w:basedOn w:val="1"/>
    <w:qFormat/>
    <w:uiPriority w:val="0"/>
    <w:rPr>
      <w:rFonts w:ascii="Tahoma" w:hAnsi="Tahoma"/>
      <w:sz w:val="24"/>
    </w:rPr>
  </w:style>
  <w:style w:type="paragraph" w:customStyle="1" w:styleId="153">
    <w:name w:val="样式2"/>
    <w:basedOn w:val="6"/>
    <w:qFormat/>
    <w:uiPriority w:val="0"/>
    <w:pPr>
      <w:numPr>
        <w:ilvl w:val="0"/>
        <w:numId w:val="6"/>
      </w:numPr>
      <w:spacing w:before="560" w:line="400" w:lineRule="exact"/>
      <w:jc w:val="center"/>
      <w:outlineLvl w:val="0"/>
    </w:pPr>
    <w:rPr>
      <w:b w:val="0"/>
      <w:sz w:val="44"/>
    </w:rPr>
  </w:style>
  <w:style w:type="paragraph" w:customStyle="1" w:styleId="154">
    <w:name w:val="内容标题"/>
    <w:basedOn w:val="18"/>
    <w:qFormat/>
    <w:uiPriority w:val="0"/>
    <w:rPr>
      <w:rFonts w:ascii="Tahoma" w:hAnsi="Tahoma"/>
      <w:sz w:val="24"/>
    </w:rPr>
  </w:style>
  <w:style w:type="paragraph" w:customStyle="1" w:styleId="15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6">
    <w:name w:val="1"/>
    <w:basedOn w:val="1"/>
    <w:next w:val="30"/>
    <w:qFormat/>
    <w:uiPriority w:val="0"/>
    <w:rPr>
      <w:rFonts w:ascii="宋体" w:hAnsi="Courier New"/>
      <w:sz w:val="21"/>
    </w:rPr>
  </w:style>
  <w:style w:type="paragraph" w:customStyle="1" w:styleId="157">
    <w:name w:val="列表项目"/>
    <w:basedOn w:val="1"/>
    <w:qFormat/>
    <w:uiPriority w:val="0"/>
    <w:pPr>
      <w:tabs>
        <w:tab w:val="left" w:pos="420"/>
      </w:tabs>
      <w:spacing w:line="288" w:lineRule="auto"/>
      <w:ind w:left="840" w:leftChars="200" w:hanging="420" w:hangingChars="200"/>
    </w:pPr>
    <w:rPr>
      <w:sz w:val="21"/>
    </w:rPr>
  </w:style>
  <w:style w:type="paragraph" w:customStyle="1" w:styleId="15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9">
    <w:name w:val="Char Char Char Char Char Char Char1"/>
    <w:basedOn w:val="18"/>
    <w:qFormat/>
    <w:uiPriority w:val="0"/>
    <w:rPr>
      <w:rFonts w:ascii="宋体" w:hAnsi="Tahoma"/>
    </w:rPr>
  </w:style>
  <w:style w:type="paragraph" w:customStyle="1" w:styleId="160">
    <w:name w:val="样式 标题 6第五层条 + 三号 段前: 0.5 行"/>
    <w:basedOn w:val="8"/>
    <w:qFormat/>
    <w:uiPriority w:val="0"/>
    <w:pPr>
      <w:widowControl/>
      <w:adjustRightInd/>
      <w:snapToGrid/>
      <w:spacing w:before="156" w:beforeLines="50"/>
      <w:jc w:val="left"/>
    </w:pPr>
    <w:rPr>
      <w:kern w:val="24"/>
      <w:sz w:val="28"/>
    </w:rPr>
  </w:style>
  <w:style w:type="paragraph" w:customStyle="1" w:styleId="16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63">
    <w:name w:val="样式 行距: 1.5 倍行距1"/>
    <w:basedOn w:val="1"/>
    <w:qFormat/>
    <w:uiPriority w:val="0"/>
    <w:pPr>
      <w:snapToGrid w:val="0"/>
    </w:pPr>
    <w:rPr>
      <w:sz w:val="21"/>
    </w:rPr>
  </w:style>
  <w:style w:type="paragraph" w:customStyle="1" w:styleId="1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5">
    <w:name w:val="00"/>
    <w:basedOn w:val="1"/>
    <w:qFormat/>
    <w:uiPriority w:val="0"/>
    <w:pPr>
      <w:autoSpaceDE w:val="0"/>
      <w:autoSpaceDN w:val="0"/>
      <w:adjustRightInd w:val="0"/>
      <w:jc w:val="left"/>
    </w:pPr>
    <w:rPr>
      <w:rFonts w:ascii="黑体" w:eastAsia="黑体"/>
      <w:b/>
      <w:kern w:val="0"/>
      <w:sz w:val="20"/>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6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9">
    <w:name w:val="标准正文"/>
    <w:basedOn w:val="23"/>
    <w:qFormat/>
    <w:uiPriority w:val="0"/>
    <w:pPr>
      <w:spacing w:before="60" w:after="60" w:line="360" w:lineRule="auto"/>
      <w:ind w:left="0" w:firstLine="482"/>
    </w:pPr>
    <w:rPr>
      <w:rFonts w:ascii="Arial" w:hAnsi="Arial"/>
      <w:sz w:val="24"/>
    </w:rPr>
  </w:style>
  <w:style w:type="paragraph" w:customStyle="1" w:styleId="170">
    <w:name w:val="正文文本 21"/>
    <w:basedOn w:val="1"/>
    <w:qFormat/>
    <w:uiPriority w:val="0"/>
    <w:pPr>
      <w:adjustRightInd w:val="0"/>
      <w:spacing w:before="120" w:line="360" w:lineRule="auto"/>
      <w:ind w:firstLine="480"/>
    </w:pPr>
    <w:rPr>
      <w:sz w:val="24"/>
    </w:rPr>
  </w:style>
  <w:style w:type="paragraph" w:customStyle="1" w:styleId="171">
    <w:name w:val="样式1"/>
    <w:basedOn w:val="6"/>
    <w:qFormat/>
    <w:uiPriority w:val="0"/>
    <w:pPr>
      <w:tabs>
        <w:tab w:val="left" w:pos="720"/>
      </w:tabs>
      <w:spacing w:before="500" w:after="260" w:line="560" w:lineRule="atLeast"/>
      <w:ind w:left="420" w:hanging="420"/>
    </w:pPr>
  </w:style>
  <w:style w:type="paragraph" w:customStyle="1" w:styleId="172">
    <w:name w:val="正文4"/>
    <w:basedOn w:val="1"/>
    <w:qFormat/>
    <w:uiPriority w:val="0"/>
    <w:pPr>
      <w:tabs>
        <w:tab w:val="left" w:pos="1275"/>
      </w:tabs>
      <w:spacing w:before="60" w:after="60" w:line="360" w:lineRule="auto"/>
      <w:ind w:left="820" w:leftChars="400" w:hanging="705"/>
    </w:pPr>
    <w:rPr>
      <w:sz w:val="24"/>
    </w:rPr>
  </w:style>
  <w:style w:type="paragraph" w:customStyle="1" w:styleId="17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4">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75">
    <w:name w:val="文本框样式1"/>
    <w:basedOn w:val="1"/>
    <w:qFormat/>
    <w:uiPriority w:val="0"/>
    <w:pPr>
      <w:adjustRightInd w:val="0"/>
      <w:snapToGrid w:val="0"/>
      <w:spacing w:before="60" w:line="180" w:lineRule="exact"/>
      <w:jc w:val="center"/>
    </w:pPr>
    <w:rPr>
      <w:sz w:val="21"/>
    </w:rPr>
  </w:style>
  <w:style w:type="paragraph" w:customStyle="1" w:styleId="176">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附录1"/>
    <w:basedOn w:val="1"/>
    <w:qFormat/>
    <w:uiPriority w:val="0"/>
    <w:pPr>
      <w:tabs>
        <w:tab w:val="left" w:pos="1304"/>
      </w:tabs>
      <w:ind w:left="425" w:hanging="425"/>
      <w:outlineLvl w:val="0"/>
    </w:pPr>
    <w:rPr>
      <w:rFonts w:ascii="黑体" w:hAnsi="黑体" w:eastAsia="黑体"/>
      <w:b/>
      <w:sz w:val="44"/>
    </w:rPr>
  </w:style>
  <w:style w:type="paragraph" w:customStyle="1" w:styleId="17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9">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80">
    <w:name w:val="关键词"/>
    <w:basedOn w:val="1"/>
    <w:qFormat/>
    <w:uiPriority w:val="0"/>
    <w:pPr>
      <w:spacing w:line="360" w:lineRule="auto"/>
    </w:pPr>
    <w:rPr>
      <w:rFonts w:eastAsia="黑体"/>
      <w:sz w:val="20"/>
    </w:rPr>
  </w:style>
  <w:style w:type="paragraph" w:customStyle="1" w:styleId="181">
    <w:name w:val="Title - Date"/>
    <w:basedOn w:val="56"/>
    <w:qFormat/>
    <w:uiPriority w:val="0"/>
    <w:pPr>
      <w:spacing w:before="240" w:after="720"/>
    </w:pPr>
    <w:rPr>
      <w:sz w:val="28"/>
    </w:rPr>
  </w:style>
  <w:style w:type="paragraph" w:customStyle="1" w:styleId="18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3">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84">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7">
    <w:name w:val="Style Heading 3h3Heading 3 - oldLevel 3 HeadH3level_3PIM 3se..."/>
    <w:basedOn w:val="5"/>
    <w:qFormat/>
    <w:uiPriority w:val="0"/>
    <w:pPr>
      <w:numPr>
        <w:ilvl w:val="2"/>
        <w:numId w:val="9"/>
      </w:numPr>
      <w:tabs>
        <w:tab w:val="left" w:pos="709"/>
        <w:tab w:val="left" w:pos="1620"/>
      </w:tabs>
    </w:pPr>
  </w:style>
  <w:style w:type="paragraph" w:customStyle="1" w:styleId="188">
    <w:name w:val="样式4"/>
    <w:basedOn w:val="6"/>
    <w:qFormat/>
    <w:uiPriority w:val="0"/>
    <w:pPr>
      <w:adjustRightInd w:val="0"/>
      <w:snapToGrid w:val="0"/>
    </w:pPr>
  </w:style>
  <w:style w:type="paragraph" w:customStyle="1" w:styleId="189">
    <w:name w:val="摘要"/>
    <w:basedOn w:val="1"/>
    <w:qFormat/>
    <w:uiPriority w:val="0"/>
    <w:pPr>
      <w:spacing w:line="360" w:lineRule="auto"/>
    </w:pPr>
    <w:rPr>
      <w:rFonts w:eastAsia="黑体"/>
      <w:sz w:val="20"/>
    </w:rPr>
  </w:style>
  <w:style w:type="paragraph" w:customStyle="1" w:styleId="190">
    <w:name w:val="Char Char 字元 字元 字元 Char Char Char Char"/>
    <w:basedOn w:val="1"/>
    <w:qFormat/>
    <w:uiPriority w:val="0"/>
    <w:pPr>
      <w:adjustRightInd w:val="0"/>
      <w:spacing w:line="360" w:lineRule="auto"/>
    </w:pPr>
    <w:rPr>
      <w:kern w:val="0"/>
      <w:sz w:val="24"/>
    </w:rPr>
  </w:style>
  <w:style w:type="paragraph" w:customStyle="1" w:styleId="191">
    <w:name w:val="可研正文"/>
    <w:basedOn w:val="2"/>
    <w:qFormat/>
    <w:uiPriority w:val="0"/>
    <w:pPr>
      <w:adjustRightInd w:val="0"/>
      <w:snapToGrid w:val="0"/>
      <w:spacing w:line="440" w:lineRule="exact"/>
      <w:ind w:firstLine="567"/>
    </w:pPr>
    <w:rPr>
      <w:sz w:val="28"/>
    </w:rPr>
  </w:style>
  <w:style w:type="paragraph" w:customStyle="1" w:styleId="192">
    <w:name w:val="没有缩进（为图形使用）"/>
    <w:basedOn w:val="1"/>
    <w:qFormat/>
    <w:uiPriority w:val="0"/>
    <w:pPr>
      <w:spacing w:before="120" w:after="120" w:line="360" w:lineRule="auto"/>
    </w:pPr>
    <w:rPr>
      <w:sz w:val="24"/>
    </w:rPr>
  </w:style>
  <w:style w:type="paragraph" w:customStyle="1" w:styleId="193">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9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5">
    <w:name w:val="标书正文:  0.74 厘米"/>
    <w:basedOn w:val="1"/>
    <w:qFormat/>
    <w:uiPriority w:val="0"/>
    <w:pPr>
      <w:snapToGrid w:val="0"/>
      <w:spacing w:line="360" w:lineRule="auto"/>
      <w:ind w:firstLine="420"/>
    </w:pPr>
    <w:rPr>
      <w:sz w:val="24"/>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8">
    <w:name w:val="Char1 Char Char Char"/>
    <w:basedOn w:val="1"/>
    <w:qFormat/>
    <w:uiPriority w:val="0"/>
    <w:rPr>
      <w:rFonts w:ascii="Tahoma" w:hAnsi="Tahoma"/>
      <w:sz w:val="24"/>
    </w:rPr>
  </w:style>
  <w:style w:type="paragraph" w:customStyle="1" w:styleId="19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200">
    <w:name w:val="文章正文"/>
    <w:basedOn w:val="1"/>
    <w:qFormat/>
    <w:uiPriority w:val="0"/>
    <w:pPr>
      <w:ind w:firstLine="560" w:firstLineChars="200"/>
    </w:pPr>
    <w:rPr>
      <w:rFonts w:ascii="仿宋_GB2312" w:hAnsi="宋体" w:eastAsia="仿宋_GB2312"/>
      <w:color w:val="000000"/>
    </w:rPr>
  </w:style>
  <w:style w:type="paragraph" w:customStyle="1" w:styleId="201">
    <w:name w:val="样式 宋体 五号 两端对齐 行距: 单倍行距"/>
    <w:basedOn w:val="1"/>
    <w:qFormat/>
    <w:uiPriority w:val="0"/>
    <w:pPr>
      <w:adjustRightInd w:val="0"/>
    </w:pPr>
    <w:rPr>
      <w:rFonts w:ascii="宋体" w:hAnsi="宋体"/>
      <w:kern w:val="0"/>
      <w:sz w:val="21"/>
    </w:rPr>
  </w:style>
  <w:style w:type="paragraph" w:customStyle="1" w:styleId="202">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03">
    <w:name w:val="Char Char1 Char"/>
    <w:basedOn w:val="1"/>
    <w:qFormat/>
    <w:uiPriority w:val="0"/>
    <w:rPr>
      <w:rFonts w:ascii="Tahoma" w:hAnsi="Tahoma"/>
      <w:sz w:val="24"/>
      <w:szCs w:val="24"/>
    </w:rPr>
  </w:style>
  <w:style w:type="paragraph" w:customStyle="1" w:styleId="204">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05">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w:basedOn w:val="1"/>
    <w:qFormat/>
    <w:uiPriority w:val="0"/>
    <w:pPr>
      <w:spacing w:line="240" w:lineRule="atLeast"/>
      <w:ind w:left="420" w:firstLine="420"/>
    </w:pPr>
    <w:rPr>
      <w:kern w:val="0"/>
      <w:sz w:val="21"/>
    </w:rPr>
  </w:style>
  <w:style w:type="paragraph" w:customStyle="1" w:styleId="207">
    <w:name w:val="_"/>
    <w:basedOn w:val="1"/>
    <w:qFormat/>
    <w:uiPriority w:val="0"/>
    <w:pPr>
      <w:adjustRightInd w:val="0"/>
      <w:spacing w:line="360" w:lineRule="auto"/>
      <w:ind w:left="480" w:firstLine="200" w:firstLineChars="200"/>
    </w:pPr>
    <w:rPr>
      <w:kern w:val="0"/>
      <w:sz w:val="24"/>
    </w:rPr>
  </w:style>
  <w:style w:type="paragraph" w:customStyle="1" w:styleId="208">
    <w:name w:val="Char1 Char Char Char1"/>
    <w:basedOn w:val="1"/>
    <w:qFormat/>
    <w:uiPriority w:val="0"/>
    <w:rPr>
      <w:rFonts w:ascii="Tahoma" w:hAnsi="Tahoma"/>
      <w:sz w:val="30"/>
    </w:rPr>
  </w:style>
  <w:style w:type="paragraph" w:customStyle="1" w:styleId="209">
    <w:name w:val="表头文本"/>
    <w:qFormat/>
    <w:uiPriority w:val="0"/>
    <w:pPr>
      <w:jc w:val="center"/>
    </w:pPr>
    <w:rPr>
      <w:rFonts w:ascii="Arial" w:hAnsi="Arial" w:eastAsia="宋体" w:cs="Times New Roman"/>
      <w:b/>
      <w:sz w:val="21"/>
      <w:lang w:val="en-US" w:eastAsia="zh-CN" w:bidi="ar-SA"/>
    </w:rPr>
  </w:style>
  <w:style w:type="paragraph" w:customStyle="1" w:styleId="210">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11">
    <w:name w:val="Char Char Char"/>
    <w:basedOn w:val="1"/>
    <w:qFormat/>
    <w:uiPriority w:val="0"/>
    <w:rPr>
      <w:rFonts w:ascii="Tahoma" w:hAnsi="Tahoma"/>
      <w:sz w:val="24"/>
    </w:rPr>
  </w:style>
  <w:style w:type="paragraph" w:customStyle="1" w:styleId="21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3">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默认段落字体 Para Char Char Char Char Char Char Char"/>
    <w:basedOn w:val="1"/>
    <w:qFormat/>
    <w:uiPriority w:val="0"/>
    <w:rPr>
      <w:rFonts w:ascii="Tahoma" w:hAnsi="Tahoma"/>
      <w:sz w:val="24"/>
    </w:rPr>
  </w:style>
  <w:style w:type="paragraph" w:customStyle="1" w:styleId="216">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8">
    <w:name w:val="首行缩进"/>
    <w:basedOn w:val="1"/>
    <w:qFormat/>
    <w:uiPriority w:val="0"/>
    <w:pPr>
      <w:numPr>
        <w:ilvl w:val="0"/>
        <w:numId w:val="11"/>
      </w:numPr>
      <w:spacing w:line="360" w:lineRule="auto"/>
    </w:pPr>
    <w:rPr>
      <w:rFonts w:eastAsia="仿宋_GB2312"/>
    </w:rPr>
  </w:style>
  <w:style w:type="paragraph" w:customStyle="1" w:styleId="219">
    <w:name w:val="正文字缩2字"/>
    <w:basedOn w:val="1"/>
    <w:qFormat/>
    <w:uiPriority w:val="0"/>
    <w:pPr>
      <w:spacing w:before="60" w:after="60" w:line="360" w:lineRule="auto"/>
      <w:ind w:left="200" w:leftChars="200" w:firstLine="200" w:firstLineChars="200"/>
    </w:pPr>
    <w:rPr>
      <w:sz w:val="24"/>
    </w:rPr>
  </w:style>
  <w:style w:type="paragraph" w:customStyle="1" w:styleId="220">
    <w:name w:val="正文表格"/>
    <w:basedOn w:val="1"/>
    <w:qFormat/>
    <w:uiPriority w:val="0"/>
    <w:pPr>
      <w:adjustRightInd w:val="0"/>
      <w:spacing w:before="40" w:after="40"/>
    </w:pPr>
    <w:rPr>
      <w:sz w:val="24"/>
    </w:rPr>
  </w:style>
  <w:style w:type="paragraph" w:customStyle="1" w:styleId="221">
    <w:name w:val="表文字"/>
    <w:qFormat/>
    <w:uiPriority w:val="0"/>
    <w:rPr>
      <w:rFonts w:ascii="宋体" w:hAnsi="Times New Roman" w:eastAsia="宋体" w:cs="Times New Roman"/>
      <w:kern w:val="2"/>
      <w:lang w:val="en-US" w:eastAsia="zh-CN" w:bidi="ar-SA"/>
    </w:rPr>
  </w:style>
  <w:style w:type="paragraph" w:customStyle="1" w:styleId="222">
    <w:name w:val="表格内文字"/>
    <w:basedOn w:val="30"/>
    <w:qFormat/>
    <w:uiPriority w:val="0"/>
    <w:pPr>
      <w:adjustRightInd w:val="0"/>
    </w:pPr>
    <w:rPr>
      <w:color w:val="000000"/>
      <w:lang w:val="en-GB"/>
    </w:rPr>
  </w:style>
  <w:style w:type="paragraph" w:customStyle="1" w:styleId="223">
    <w:name w:val="正文文本缩进 21"/>
    <w:basedOn w:val="1"/>
    <w:qFormat/>
    <w:uiPriority w:val="0"/>
    <w:pPr>
      <w:adjustRightInd w:val="0"/>
      <w:spacing w:before="120"/>
      <w:ind w:firstLine="420"/>
    </w:pPr>
    <w:rPr>
      <w:sz w:val="24"/>
    </w:rPr>
  </w:style>
  <w:style w:type="paragraph" w:customStyle="1" w:styleId="224">
    <w:name w:val="标题无"/>
    <w:basedOn w:val="1"/>
    <w:qFormat/>
    <w:uiPriority w:val="0"/>
    <w:pPr>
      <w:spacing w:line="360" w:lineRule="auto"/>
    </w:pPr>
    <w:rPr>
      <w:sz w:val="24"/>
    </w:rPr>
  </w:style>
  <w:style w:type="paragraph" w:customStyle="1" w:styleId="225">
    <w:name w:val="af"/>
    <w:basedOn w:val="1"/>
    <w:qFormat/>
    <w:uiPriority w:val="0"/>
    <w:pPr>
      <w:widowControl/>
      <w:spacing w:line="300" w:lineRule="atLeast"/>
      <w:jc w:val="left"/>
    </w:pPr>
    <w:rPr>
      <w:rFonts w:ascii="宋体" w:hAnsi="宋体"/>
      <w:kern w:val="0"/>
      <w:sz w:val="18"/>
    </w:rPr>
  </w:style>
  <w:style w:type="paragraph" w:customStyle="1" w:styleId="226">
    <w:name w:val="简单回函地址"/>
    <w:basedOn w:val="1"/>
    <w:qFormat/>
    <w:uiPriority w:val="0"/>
    <w:pPr>
      <w:adjustRightInd w:val="0"/>
      <w:snapToGrid w:val="0"/>
      <w:spacing w:line="360" w:lineRule="auto"/>
    </w:pPr>
    <w:rPr>
      <w:sz w:val="24"/>
    </w:rPr>
  </w:style>
  <w:style w:type="paragraph" w:customStyle="1" w:styleId="227">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28">
    <w:name w:val="正文（首行不缩进）"/>
    <w:basedOn w:val="1"/>
    <w:qFormat/>
    <w:uiPriority w:val="0"/>
    <w:pPr>
      <w:autoSpaceDE w:val="0"/>
      <w:autoSpaceDN w:val="0"/>
      <w:adjustRightInd w:val="0"/>
      <w:spacing w:line="360" w:lineRule="auto"/>
      <w:jc w:val="left"/>
    </w:pPr>
    <w:rPr>
      <w:kern w:val="0"/>
      <w:sz w:val="21"/>
    </w:rPr>
  </w:style>
  <w:style w:type="paragraph" w:customStyle="1" w:styleId="229">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0">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31">
    <w:name w:val="表头样式"/>
    <w:basedOn w:val="1"/>
    <w:qFormat/>
    <w:uiPriority w:val="0"/>
    <w:pPr>
      <w:autoSpaceDE w:val="0"/>
      <w:autoSpaceDN w:val="0"/>
      <w:adjustRightInd w:val="0"/>
      <w:spacing w:line="360" w:lineRule="auto"/>
      <w:jc w:val="left"/>
    </w:pPr>
    <w:rPr>
      <w:b/>
      <w:kern w:val="0"/>
      <w:sz w:val="21"/>
    </w:rPr>
  </w:style>
  <w:style w:type="paragraph" w:customStyle="1" w:styleId="232">
    <w:name w:val="图片文字"/>
    <w:basedOn w:val="1"/>
    <w:qFormat/>
    <w:uiPriority w:val="0"/>
    <w:pPr>
      <w:spacing w:line="240" w:lineRule="atLeast"/>
      <w:jc w:val="center"/>
    </w:pPr>
    <w:rPr>
      <w:sz w:val="21"/>
    </w:rPr>
  </w:style>
  <w:style w:type="paragraph" w:customStyle="1" w:styleId="233">
    <w:name w:val="xl23"/>
    <w:basedOn w:val="1"/>
    <w:qFormat/>
    <w:uiPriority w:val="0"/>
    <w:pPr>
      <w:widowControl/>
      <w:spacing w:before="100" w:beforeAutospacing="1" w:after="100" w:afterAutospacing="1" w:line="360" w:lineRule="auto"/>
    </w:pPr>
    <w:rPr>
      <w:kern w:val="0"/>
      <w:sz w:val="24"/>
    </w:rPr>
  </w:style>
  <w:style w:type="paragraph" w:customStyle="1" w:styleId="234">
    <w:name w:val="附录3"/>
    <w:basedOn w:val="1"/>
    <w:qFormat/>
    <w:uiPriority w:val="0"/>
    <w:pPr>
      <w:tabs>
        <w:tab w:val="left" w:pos="851"/>
      </w:tabs>
      <w:ind w:left="425" w:hanging="425"/>
      <w:outlineLvl w:val="2"/>
    </w:pPr>
    <w:rPr>
      <w:rFonts w:eastAsia="黑体"/>
      <w:b/>
      <w:sz w:val="32"/>
    </w:rPr>
  </w:style>
  <w:style w:type="paragraph" w:customStyle="1" w:styleId="235">
    <w:name w:val="È±Ê¡ÎÄ±¾"/>
    <w:basedOn w:val="1"/>
    <w:qFormat/>
    <w:uiPriority w:val="0"/>
    <w:pPr>
      <w:widowControl/>
      <w:overflowPunct w:val="0"/>
      <w:autoSpaceDE w:val="0"/>
      <w:autoSpaceDN w:val="0"/>
      <w:adjustRightInd w:val="0"/>
      <w:jc w:val="left"/>
    </w:pPr>
    <w:rPr>
      <w:kern w:val="0"/>
      <w:sz w:val="24"/>
    </w:rPr>
  </w:style>
  <w:style w:type="paragraph" w:customStyle="1" w:styleId="236">
    <w:name w:val="首行缩进 1"/>
    <w:basedOn w:val="1"/>
    <w:qFormat/>
    <w:uiPriority w:val="0"/>
    <w:pPr>
      <w:spacing w:after="120" w:line="360" w:lineRule="auto"/>
      <w:ind w:firstLine="200" w:firstLineChars="200"/>
    </w:pPr>
    <w:rPr>
      <w:sz w:val="24"/>
    </w:rPr>
  </w:style>
  <w:style w:type="paragraph" w:customStyle="1" w:styleId="237">
    <w:name w:val="Char11"/>
    <w:basedOn w:val="1"/>
    <w:qFormat/>
    <w:uiPriority w:val="0"/>
    <w:pPr>
      <w:spacing w:line="240" w:lineRule="atLeast"/>
      <w:ind w:left="420" w:firstLine="420"/>
    </w:pPr>
    <w:rPr>
      <w:kern w:val="0"/>
      <w:sz w:val="21"/>
    </w:rPr>
  </w:style>
  <w:style w:type="paragraph" w:customStyle="1" w:styleId="23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0">
    <w:name w:val="样式1xz"/>
    <w:basedOn w:val="1"/>
    <w:qFormat/>
    <w:uiPriority w:val="0"/>
    <w:pPr>
      <w:tabs>
        <w:tab w:val="left" w:pos="1050"/>
        <w:tab w:val="right" w:leader="dot" w:pos="8296"/>
      </w:tabs>
    </w:pPr>
    <w:rPr>
      <w:caps/>
      <w:spacing w:val="20"/>
      <w:sz w:val="24"/>
    </w:rPr>
  </w:style>
  <w:style w:type="paragraph" w:customStyle="1" w:styleId="24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2">
    <w:name w:val="Char1"/>
    <w:basedOn w:val="1"/>
    <w:qFormat/>
    <w:uiPriority w:val="0"/>
    <w:rPr>
      <w:sz w:val="21"/>
    </w:rPr>
  </w:style>
  <w:style w:type="paragraph" w:customStyle="1" w:styleId="243">
    <w:name w:val="Note"/>
    <w:basedOn w:val="1"/>
    <w:qFormat/>
    <w:uiPriority w:val="0"/>
    <w:pPr>
      <w:pBdr>
        <w:top w:val="single" w:color="auto" w:sz="12" w:space="3"/>
        <w:bottom w:val="single" w:color="auto" w:sz="12" w:space="3"/>
      </w:pBdr>
      <w:spacing w:line="360" w:lineRule="auto"/>
    </w:pPr>
    <w:rPr>
      <w:sz w:val="24"/>
    </w:rPr>
  </w:style>
  <w:style w:type="paragraph" w:customStyle="1" w:styleId="244">
    <w:name w:val="Char Char Char Char Char Char Char Char Char Char Char Char Char Char Char Char"/>
    <w:basedOn w:val="1"/>
    <w:qFormat/>
    <w:uiPriority w:val="0"/>
    <w:pPr>
      <w:tabs>
        <w:tab w:val="left" w:pos="360"/>
      </w:tabs>
    </w:pPr>
    <w:rPr>
      <w:sz w:val="24"/>
    </w:rPr>
  </w:style>
  <w:style w:type="paragraph" w:customStyle="1" w:styleId="245">
    <w:name w:val="样式 宋体 五号 行距: 单倍行距"/>
    <w:basedOn w:val="1"/>
    <w:qFormat/>
    <w:uiPriority w:val="0"/>
    <w:pPr>
      <w:adjustRightInd w:val="0"/>
      <w:jc w:val="left"/>
    </w:pPr>
    <w:rPr>
      <w:rFonts w:ascii="宋体" w:hAnsi="宋体"/>
      <w:kern w:val="0"/>
      <w:sz w:val="21"/>
    </w:rPr>
  </w:style>
  <w:style w:type="paragraph" w:customStyle="1" w:styleId="246">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49">
    <w:name w:val="图例"/>
    <w:basedOn w:val="1"/>
    <w:qFormat/>
    <w:uiPriority w:val="0"/>
    <w:pPr>
      <w:spacing w:before="120" w:after="120" w:line="360" w:lineRule="auto"/>
      <w:jc w:val="center"/>
    </w:pPr>
    <w:rPr>
      <w:rFonts w:eastAsia="仿宋_GB2312"/>
      <w:b/>
      <w:sz w:val="24"/>
    </w:rPr>
  </w:style>
  <w:style w:type="table" w:customStyle="1" w:styleId="250">
    <w:name w:val="Table Normal"/>
    <w:semiHidden/>
    <w:unhideWhenUsed/>
    <w:qFormat/>
    <w:uiPriority w:val="0"/>
    <w:tblPr>
      <w:tblCellMar>
        <w:top w:w="0" w:type="dxa"/>
        <w:left w:w="0" w:type="dxa"/>
        <w:bottom w:w="0" w:type="dxa"/>
        <w:right w:w="0" w:type="dxa"/>
      </w:tblCellMar>
    </w:tblPr>
  </w:style>
  <w:style w:type="paragraph" w:customStyle="1" w:styleId="251">
    <w:name w:val="标题 21"/>
    <w:basedOn w:val="34"/>
    <w:next w:val="34"/>
    <w:qFormat/>
    <w:uiPriority w:val="0"/>
    <w:pPr>
      <w:keepNext/>
      <w:keepLines/>
      <w:outlineLvl w:val="1"/>
    </w:pPr>
    <w:rPr>
      <w:rFonts w:ascii="Arial" w:hAnsi="Arial" w:eastAsia="黑体" w:cs="Arial"/>
      <w:b/>
      <w:sz w:val="32"/>
    </w:rPr>
  </w:style>
  <w:style w:type="paragraph" w:customStyle="1" w:styleId="252">
    <w:name w:val="Table Paragraph"/>
    <w:basedOn w:val="1"/>
    <w:qFormat/>
    <w:uiPriority w:val="1"/>
    <w:pPr>
      <w:jc w:val="left"/>
    </w:pPr>
    <w:rPr>
      <w:rFonts w:ascii="宋体" w:hAnsi="宋体" w:cs="宋体"/>
      <w:kern w:val="0"/>
      <w:lang w:eastAsia="en-US"/>
    </w:rPr>
  </w:style>
  <w:style w:type="paragraph" w:customStyle="1" w:styleId="2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4">
    <w:name w:val="电建正文"/>
    <w:basedOn w:val="255"/>
    <w:qFormat/>
    <w:uiPriority w:val="0"/>
    <w:pPr>
      <w:tabs>
        <w:tab w:val="left" w:pos="720"/>
      </w:tabs>
      <w:spacing w:line="360" w:lineRule="auto"/>
      <w:ind w:firstLine="200" w:firstLineChars="200"/>
    </w:pPr>
    <w:rPr>
      <w:rFonts w:ascii="Tahoma" w:hAnsi="Tahoma"/>
      <w:sz w:val="24"/>
    </w:rPr>
  </w:style>
  <w:style w:type="paragraph" w:customStyle="1" w:styleId="255">
    <w:name w:val="List First"/>
    <w:basedOn w:val="42"/>
    <w:next w:val="42"/>
    <w:qFormat/>
    <w:uiPriority w:val="0"/>
    <w:pPr>
      <w:widowControl/>
      <w:tabs>
        <w:tab w:val="left" w:pos="720"/>
      </w:tabs>
      <w:overflowPunct w:val="0"/>
      <w:autoSpaceDE w:val="0"/>
      <w:autoSpaceDN w:val="0"/>
      <w:spacing w:before="80" w:after="80"/>
      <w:ind w:left="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2095</Words>
  <Characters>2375</Characters>
  <Lines>120</Lines>
  <Paragraphs>34</Paragraphs>
  <TotalTime>347</TotalTime>
  <ScaleCrop>false</ScaleCrop>
  <LinksUpToDate>false</LinksUpToDate>
  <CharactersWithSpaces>2485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2022-06-17T08:41:00Z</dcterms:created>
  <dc:creator>Administrator</dc:creator>
  <cp:lastModifiedBy>YBY</cp:lastModifiedBy>
  <cp:lastPrinted>2024-10-25T00:54:00Z</cp:lastPrinted>
  <dcterms:modified xsi:type="dcterms:W3CDTF">2025-07-29T04:40:20Z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128CBA57DAA148049C4F25DD6DB41D57</vt:lpwstr>
  </property>
  <property fmtid="{D5CDD505-2E9C-101B-9397-08002B2CF9AE}" pid="4" name="KSOTemplateDocerSaveRecord">
    <vt:lpwstr>eyJoZGlkIjoiYjU5OTQyOThkMTUzM2M3NGQ2NmZiMWU1ODcwNTI2NTciLCJ1c2VySWQiOiIxNjg0NDk0NjIzIn0=</vt:lpwstr>
  </property>
</Properties>
</file>