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color w:val="auto"/>
          <w:highlight w:val="none"/>
          <w:lang w:val="en-US" w:eastAsia="zh-CN"/>
        </w:rPr>
      </w:pPr>
      <w:bookmarkStart w:id="287" w:name="_GoBack"/>
      <w:bookmarkEnd w:id="287"/>
      <w:r>
        <w:rPr>
          <w:rFonts w:hint="eastAsia" w:asciiTheme="minorEastAsia" w:hAnsiTheme="minorEastAsia" w:eastAsiaTheme="minorEastAsia" w:cstheme="minorEastAsia"/>
          <w:color w:val="auto"/>
          <w:highlight w:val="none"/>
          <w:lang w:val="en-US" w:eastAsia="zh-CN"/>
        </w:rPr>
        <w:t xml:space="preserve"> </w:t>
      </w: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pP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pPr>
        <w:spacing w:line="700" w:lineRule="exact"/>
        <w:rPr>
          <w:rFonts w:hint="eastAsia" w:asciiTheme="minorEastAsia" w:hAnsiTheme="minorEastAsia" w:eastAsiaTheme="minorEastAsia" w:cstheme="minorEastAsia"/>
          <w:color w:val="auto"/>
          <w:sz w:val="32"/>
          <w:highlight w:val="none"/>
        </w:rPr>
      </w:pPr>
    </w:p>
    <w:p>
      <w:pPr>
        <w:rPr>
          <w:rFonts w:hint="eastAsia" w:asciiTheme="minorEastAsia" w:hAnsiTheme="minorEastAsia" w:eastAsiaTheme="minorEastAsia" w:cstheme="minorEastAsia"/>
          <w:color w:val="auto"/>
          <w:highlight w:val="none"/>
        </w:rPr>
      </w:pPr>
    </w:p>
    <w:p>
      <w:pPr>
        <w:spacing w:line="700" w:lineRule="exact"/>
        <w:rPr>
          <w:rFonts w:hint="eastAsia" w:asciiTheme="minorEastAsia" w:hAnsiTheme="minorEastAsia" w:eastAsiaTheme="minorEastAsia" w:cstheme="minorEastAsia"/>
          <w:color w:val="auto"/>
          <w:sz w:val="32"/>
          <w:highlight w:val="none"/>
        </w:rPr>
      </w:pPr>
    </w:p>
    <w:p>
      <w:pPr>
        <w:pStyle w:val="22"/>
        <w:rPr>
          <w:rFonts w:hint="eastAsia" w:asciiTheme="minorEastAsia" w:hAnsiTheme="minorEastAsia" w:eastAsiaTheme="minorEastAsia" w:cstheme="minorEastAsia"/>
          <w:color w:val="auto"/>
          <w:highlight w:val="none"/>
        </w:rPr>
      </w:pPr>
    </w:p>
    <w:p>
      <w:pPr>
        <w:spacing w:line="500" w:lineRule="exact"/>
        <w:ind w:firstLine="320" w:firstLineChars="1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项目编号：HC-CQZC-2025招字025</w:t>
      </w:r>
    </w:p>
    <w:p>
      <w:pPr>
        <w:spacing w:line="500" w:lineRule="exact"/>
        <w:ind w:left="1958" w:leftChars="128" w:hanging="1600" w:hangingChars="500"/>
        <w:jc w:val="left"/>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val="en-US" w:eastAsia="zh-CN" w:bidi="ar-SA"/>
        </w:rPr>
        <w:t>项目名称：重庆园博园主入口室外停车场充电桩项目（重新招标）</w:t>
      </w:r>
    </w:p>
    <w:p>
      <w:pPr>
        <w:pStyle w:val="22"/>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pStyle w:val="22"/>
        <w:rPr>
          <w:rFonts w:hint="eastAsia" w:asciiTheme="minorEastAsia" w:hAnsiTheme="minorEastAsia" w:eastAsiaTheme="minorEastAsia" w:cstheme="minorEastAsia"/>
          <w:color w:val="auto"/>
          <w:sz w:val="32"/>
          <w:szCs w:val="32"/>
          <w:highlight w:val="none"/>
        </w:rPr>
      </w:pPr>
    </w:p>
    <w:p>
      <w:pPr>
        <w:pStyle w:val="82"/>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b/>
          <w:color w:val="auto"/>
          <w:sz w:val="32"/>
          <w:szCs w:val="32"/>
          <w:highlight w:val="none"/>
        </w:rPr>
      </w:pP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华春建设工程项目管理有限责任公司</w:t>
      </w:r>
    </w:p>
    <w:p>
      <w:pPr>
        <w:spacing w:line="720" w:lineRule="exact"/>
        <w:jc w:val="center"/>
        <w:outlineLvl w:val="0"/>
        <w:rPr>
          <w:rFonts w:hint="eastAsia" w:asciiTheme="minorEastAsia" w:hAnsiTheme="minorEastAsia" w:eastAsiaTheme="minorEastAsia" w:cstheme="minorEastAsia"/>
          <w:color w:val="auto"/>
          <w:sz w:val="32"/>
          <w:szCs w:val="32"/>
          <w:highlight w:val="none"/>
        </w:rPr>
      </w:pPr>
    </w:p>
    <w:p>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七</w:t>
      </w:r>
      <w:r>
        <w:rPr>
          <w:rFonts w:hint="eastAsia" w:asciiTheme="minorEastAsia" w:hAnsiTheme="minorEastAsia" w:eastAsiaTheme="minorEastAsia" w:cstheme="minorEastAsia"/>
          <w:color w:val="auto"/>
          <w:sz w:val="32"/>
          <w:szCs w:val="32"/>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比选</w:t>
      </w:r>
      <w:r>
        <w:rPr>
          <w:rFonts w:hint="eastAsia" w:asciiTheme="minorEastAsia" w:hAnsiTheme="minorEastAsia" w:eastAsiaTheme="minorEastAsia" w:cstheme="minor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29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4"/>
        <w:spacing w:line="360" w:lineRule="auto"/>
        <w:jc w:val="center"/>
        <w:rPr>
          <w:rFonts w:hint="eastAsia" w:asciiTheme="minorEastAsia" w:hAnsiTheme="minorEastAsia" w:eastAsiaTheme="minorEastAsia" w:cstheme="minorEastAsia"/>
          <w:bCs/>
          <w:color w:val="auto"/>
          <w:szCs w:val="30"/>
          <w:highlight w:val="none"/>
        </w:rPr>
      </w:pPr>
      <w:bookmarkStart w:id="0" w:name="_Toc11641050"/>
      <w:bookmarkEnd w:id="0"/>
      <w:bookmarkStart w:id="1" w:name="_Toc106030870"/>
      <w:bookmarkEnd w:id="1"/>
      <w:bookmarkStart w:id="2" w:name="_Toc7314"/>
      <w:bookmarkEnd w:id="2"/>
      <w:bookmarkStart w:id="3" w:name="_Toc76462316"/>
      <w:bookmarkEnd w:id="3"/>
      <w:bookmarkStart w:id="4" w:name="_Toc12789052"/>
      <w:bookmarkEnd w:id="4"/>
      <w:bookmarkStart w:id="5" w:name="_Toc16374"/>
      <w:bookmarkStart w:id="6" w:name="_Toc29051"/>
      <w:bookmarkStart w:id="7" w:name="_Toc15468"/>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华春建设工程项目管理有限责任公司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eastAsia="zh-CN"/>
        </w:rPr>
        <w:t>重庆园博园主入口室外停车场充电桩项目（重新招标）</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111"/>
      <w:bookmarkEnd w:id="8"/>
      <w:bookmarkStart w:id="9" w:name="_Toc313893526"/>
      <w:bookmarkEnd w:id="9"/>
      <w:bookmarkStart w:id="10" w:name="_Toc317775175"/>
      <w:bookmarkEnd w:id="10"/>
      <w:bookmarkStart w:id="11" w:name="_Toc106030871"/>
      <w:bookmarkEnd w:id="11"/>
      <w:bookmarkStart w:id="12" w:name="_Toc76462317"/>
      <w:bookmarkEnd w:id="12"/>
      <w:bookmarkStart w:id="13" w:name="_Toc15457"/>
      <w:bookmarkStart w:id="14" w:name="_Toc29419"/>
      <w:bookmarkStart w:id="15" w:name="_Toc25655"/>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1"/>
        <w:gridCol w:w="1304"/>
        <w:gridCol w:w="1816"/>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96" w:type="pc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4"/>
                <w:highlight w:val="none"/>
              </w:rPr>
            </w:pPr>
            <w:bookmarkStart w:id="16" w:name="_Toc21035"/>
            <w:bookmarkEnd w:id="16"/>
            <w:bookmarkStart w:id="17" w:name="_Toc76462318"/>
            <w:bookmarkEnd w:id="17"/>
            <w:bookmarkStart w:id="18" w:name="_Toc29613"/>
            <w:bookmarkEnd w:id="18"/>
            <w:bookmarkStart w:id="19" w:name="_Toc106030872"/>
            <w:bookmarkEnd w:id="19"/>
            <w:bookmarkStart w:id="20" w:name="_Toc76462319"/>
            <w:bookmarkEnd w:id="20"/>
            <w:bookmarkStart w:id="21" w:name="_Toc106030873"/>
            <w:bookmarkEnd w:id="21"/>
            <w:bookmarkStart w:id="22" w:name="_Toc12739"/>
            <w:bookmarkStart w:id="23" w:name="_Toc17979"/>
            <w:bookmarkStart w:id="24" w:name="_Toc27603"/>
            <w:bookmarkStart w:id="25" w:name="_Toc373860293"/>
            <w:bookmarkStart w:id="26" w:name="_Toc317775178"/>
            <w:r>
              <w:rPr>
                <w:rFonts w:hint="eastAsia" w:ascii="宋体" w:hAnsi="宋体" w:eastAsia="宋体" w:cs="宋体"/>
                <w:b/>
                <w:bCs/>
                <w:kern w:val="0"/>
                <w:sz w:val="21"/>
                <w:szCs w:val="24"/>
                <w:highlight w:val="none"/>
                <w:lang w:val="en-US" w:eastAsia="zh-CN"/>
              </w:rPr>
              <w:t>项目</w:t>
            </w:r>
            <w:r>
              <w:rPr>
                <w:rFonts w:hint="eastAsia" w:ascii="宋体" w:hAnsi="宋体" w:eastAsia="宋体" w:cs="宋体"/>
                <w:b/>
                <w:bCs/>
                <w:kern w:val="0"/>
                <w:sz w:val="21"/>
                <w:szCs w:val="24"/>
                <w:highlight w:val="none"/>
              </w:rPr>
              <w:t>名称</w:t>
            </w:r>
          </w:p>
        </w:tc>
        <w:tc>
          <w:tcPr>
            <w:tcW w:w="647" w:type="pc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最</w:t>
            </w:r>
            <w:r>
              <w:rPr>
                <w:rFonts w:hint="eastAsia" w:ascii="宋体" w:hAnsi="宋体" w:eastAsia="宋体" w:cs="宋体"/>
                <w:b/>
                <w:bCs/>
                <w:kern w:val="0"/>
                <w:sz w:val="21"/>
                <w:szCs w:val="24"/>
                <w:highlight w:val="none"/>
                <w:lang w:val="en-US" w:eastAsia="zh-CN"/>
              </w:rPr>
              <w:t>低</w:t>
            </w:r>
            <w:r>
              <w:rPr>
                <w:rFonts w:hint="eastAsia" w:ascii="宋体" w:hAnsi="宋体" w:eastAsia="宋体" w:cs="宋体"/>
                <w:b/>
                <w:bCs/>
                <w:kern w:val="0"/>
                <w:sz w:val="21"/>
                <w:szCs w:val="24"/>
                <w:highlight w:val="none"/>
              </w:rPr>
              <w:t>限价（万元</w:t>
            </w:r>
            <w:r>
              <w:rPr>
                <w:rFonts w:hint="eastAsia" w:ascii="宋体" w:hAnsi="宋体" w:eastAsia="宋体" w:cs="宋体"/>
                <w:b/>
                <w:bCs/>
                <w:kern w:val="0"/>
                <w:sz w:val="21"/>
                <w:szCs w:val="24"/>
                <w:highlight w:val="none"/>
                <w:lang w:val="en-US" w:eastAsia="zh-CN"/>
              </w:rPr>
              <w:t>/年</w:t>
            </w:r>
            <w:r>
              <w:rPr>
                <w:rFonts w:hint="eastAsia" w:ascii="宋体" w:hAnsi="宋体" w:eastAsia="宋体" w:cs="宋体"/>
                <w:b/>
                <w:bCs/>
                <w:kern w:val="0"/>
                <w:sz w:val="21"/>
                <w:szCs w:val="24"/>
                <w:highlight w:val="none"/>
              </w:rPr>
              <w:t>）</w:t>
            </w:r>
          </w:p>
        </w:tc>
        <w:tc>
          <w:tcPr>
            <w:tcW w:w="901"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成交供应商数量（名）</w:t>
            </w:r>
          </w:p>
        </w:tc>
        <w:tc>
          <w:tcPr>
            <w:tcW w:w="1454"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9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4"/>
                <w:highlight w:val="none"/>
                <w:lang w:eastAsia="zh-CN"/>
              </w:rPr>
            </w:pPr>
            <w:r>
              <w:rPr>
                <w:rFonts w:hint="eastAsia" w:ascii="宋体" w:hAnsi="宋体" w:cs="宋体"/>
                <w:kern w:val="0"/>
                <w:sz w:val="21"/>
                <w:szCs w:val="24"/>
                <w:highlight w:val="none"/>
                <w:lang w:eastAsia="zh-CN"/>
              </w:rPr>
              <w:t>重庆园博园主入口室外停车场充电桩项目（重新招标）</w:t>
            </w:r>
          </w:p>
        </w:tc>
        <w:tc>
          <w:tcPr>
            <w:tcW w:w="6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rPr>
            </w:pPr>
            <w:r>
              <w:rPr>
                <w:rFonts w:hint="eastAsia" w:ascii="宋体" w:hAnsi="宋体" w:eastAsia="宋体" w:cs="宋体"/>
                <w:sz w:val="21"/>
                <w:szCs w:val="21"/>
                <w:highlight w:val="none"/>
                <w:lang w:val="en-US" w:eastAsia="zh-CN"/>
              </w:rPr>
              <w:t>4.5</w:t>
            </w:r>
          </w:p>
        </w:tc>
        <w:tc>
          <w:tcPr>
            <w:tcW w:w="90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采取纯租赁的形式，充电桩不低于18个，合作期5年。</w:t>
            </w:r>
          </w:p>
        </w:tc>
      </w:tr>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pPr>
        <w:spacing w:line="400" w:lineRule="exact"/>
        <w:ind w:firstLine="480" w:firstLineChars="200"/>
        <w:rPr>
          <w:rFonts w:hint="eastAsia" w:ascii="宋体" w:hAnsi="宋体" w:cs="宋体"/>
          <w:color w:val="auto"/>
          <w:sz w:val="24"/>
          <w:szCs w:val="24"/>
          <w:highlight w:val="none"/>
        </w:rPr>
      </w:pPr>
      <w:bookmarkStart w:id="27" w:name="_Toc24313"/>
      <w:bookmarkEnd w:id="27"/>
      <w:bookmarkStart w:id="28" w:name="_Toc106030874"/>
      <w:bookmarkEnd w:id="28"/>
      <w:bookmarkStart w:id="29" w:name="_Toc76462320"/>
      <w:bookmarkEnd w:id="29"/>
      <w:r>
        <w:rPr>
          <w:rFonts w:hint="eastAsia" w:ascii="宋体" w:hAnsi="宋体" w:cs="宋体"/>
          <w:color w:val="auto"/>
          <w:sz w:val="24"/>
          <w:szCs w:val="24"/>
          <w:highlight w:val="none"/>
        </w:rPr>
        <w:t>（一）满足《中华人民共和国政府采购法》第二十二条规定；</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（三）本项目的特定资格要求：无。</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0" w:name="_Toc4034"/>
      <w:bookmarkStart w:id="31" w:name="_Toc4536"/>
      <w:bookmarkStart w:id="32" w:name="_Toc16913"/>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或“中国采购与招标网”（https://www.chinabidding.com.cn/）</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21 </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rPr>
        <w:t>日（9:00—17:00工作时间）。</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pPr>
        <w:wordWrap w:val="0"/>
        <w:adjustRightInd/>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文件发售期内，将《</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文件发售登记表》（加盖供应商公章）扫描后发送至280756406@QQ.com（邮箱）。</w:t>
      </w:r>
      <w:r>
        <w:rPr>
          <w:rFonts w:hint="eastAsia" w:ascii="宋体" w:hAnsi="宋体" w:eastAsia="宋体" w:cs="宋体"/>
          <w:sz w:val="24"/>
          <w:szCs w:val="24"/>
          <w:highlight w:val="none"/>
        </w:rPr>
        <w:fldChar w:fldCharType="end"/>
      </w:r>
    </w:p>
    <w:p>
      <w:pPr>
        <w:numPr>
          <w:ilvl w:val="0"/>
          <w:numId w:val="0"/>
        </w:numPr>
        <w:spacing w:line="40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2</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w:t>
      </w:r>
      <w:r>
        <w:rPr>
          <w:rFonts w:hint="eastAsia" w:ascii="宋体" w:hAnsi="宋体" w:eastAsia="宋体" w:cs="宋体"/>
          <w:spacing w:val="0"/>
          <w:sz w:val="24"/>
          <w:szCs w:val="24"/>
          <w:highlight w:val="none"/>
          <w:lang w:val="en-US" w:eastAsia="zh-CN"/>
        </w:rPr>
        <w:t>报名</w:t>
      </w:r>
      <w:r>
        <w:rPr>
          <w:rFonts w:hint="eastAsia" w:ascii="宋体" w:hAnsi="宋体" w:eastAsia="宋体" w:cs="宋体"/>
          <w:spacing w:val="0"/>
          <w:sz w:val="24"/>
          <w:szCs w:val="24"/>
          <w:highlight w:val="none"/>
        </w:rPr>
        <w:t>的供应商，其</w:t>
      </w:r>
      <w:r>
        <w:rPr>
          <w:rFonts w:hint="eastAsia" w:ascii="宋体" w:hAnsi="宋体" w:eastAsia="宋体" w:cs="宋体"/>
          <w:spacing w:val="0"/>
          <w:sz w:val="24"/>
          <w:szCs w:val="24"/>
          <w:highlight w:val="none"/>
          <w:lang w:val="en-US" w:eastAsia="zh-CN"/>
        </w:rPr>
        <w:t>响应文件</w:t>
      </w:r>
      <w:r>
        <w:rPr>
          <w:rFonts w:hint="eastAsia" w:ascii="宋体" w:hAnsi="宋体" w:eastAsia="宋体" w:cs="宋体"/>
          <w:spacing w:val="0"/>
          <w:sz w:val="24"/>
          <w:szCs w:val="24"/>
          <w:highlight w:val="none"/>
        </w:rPr>
        <w:t>才被接收</w:t>
      </w:r>
      <w:r>
        <w:rPr>
          <w:rFonts w:hint="eastAsia" w:ascii="宋体" w:hAnsi="宋体" w:eastAsia="宋体" w:cs="宋体"/>
          <w:spacing w:val="0"/>
          <w:sz w:val="24"/>
          <w:szCs w:val="24"/>
          <w:highlight w:val="none"/>
          <w:lang w:eastAsia="zh-CN"/>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sz w:val="24"/>
          <w:szCs w:val="24"/>
          <w:highlight w:val="none"/>
          <w:lang w:val="en-US" w:eastAsia="zh-CN"/>
        </w:rPr>
        <w:t>重庆市</w:t>
      </w:r>
      <w:r>
        <w:rPr>
          <w:rFonts w:hint="eastAsia" w:ascii="宋体" w:hAnsi="宋体" w:cs="宋体"/>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28</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10:00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28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10:30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28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10:30 </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22111"/>
      <w:bookmarkEnd w:id="33"/>
      <w:bookmarkStart w:id="34" w:name="_Toc30895"/>
      <w:bookmarkEnd w:id="34"/>
      <w:bookmarkStart w:id="35" w:name="_Toc12663"/>
      <w:bookmarkEnd w:id="35"/>
      <w:bookmarkStart w:id="36" w:name="_Toc11844"/>
      <w:bookmarkEnd w:id="36"/>
      <w:bookmarkStart w:id="37" w:name="_Toc524"/>
      <w:bookmarkEnd w:id="37"/>
      <w:bookmarkStart w:id="38" w:name="_Toc3476"/>
      <w:bookmarkEnd w:id="38"/>
      <w:bookmarkStart w:id="39" w:name="_Toc15717"/>
      <w:bookmarkEnd w:id="39"/>
      <w:bookmarkStart w:id="40" w:name="_Toc75793500"/>
      <w:bookmarkEnd w:id="40"/>
      <w:bookmarkStart w:id="41" w:name="_Toc9290"/>
      <w:bookmarkEnd w:id="41"/>
      <w:bookmarkStart w:id="42" w:name="_Toc7836"/>
      <w:bookmarkEnd w:id="42"/>
      <w:bookmarkStart w:id="43" w:name="_Toc23960"/>
      <w:bookmarkEnd w:id="43"/>
      <w:bookmarkStart w:id="44" w:name="_Toc18100"/>
      <w:bookmarkEnd w:id="44"/>
      <w:bookmarkStart w:id="45" w:name="_Toc106030376"/>
      <w:bookmarkEnd w:id="45"/>
      <w:bookmarkStart w:id="46" w:name="_Toc12090"/>
      <w:bookmarkEnd w:id="46"/>
      <w:bookmarkStart w:id="47" w:name="_Toc25854"/>
      <w:bookmarkEnd w:id="47"/>
      <w:bookmarkStart w:id="48" w:name="_Toc3575"/>
      <w:bookmarkStart w:id="49" w:name="_Toc25502"/>
      <w:bookmarkStart w:id="50" w:name="_Toc15409"/>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保证金</w:t>
      </w:r>
      <w:bookmarkEnd w:id="48"/>
      <w:bookmarkEnd w:id="49"/>
      <w:bookmarkEnd w:id="50"/>
    </w:p>
    <w:bookmarkEnd w:id="26"/>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51" w:name="_Toc480466698"/>
      <w:bookmarkEnd w:id="51"/>
      <w:bookmarkStart w:id="52" w:name="_Toc76462321"/>
      <w:bookmarkEnd w:id="52"/>
      <w:bookmarkStart w:id="53" w:name="_Toc480466699"/>
      <w:bookmarkEnd w:id="53"/>
      <w:bookmarkStart w:id="54" w:name="_Toc106030876"/>
      <w:bookmarkEnd w:id="54"/>
      <w:bookmarkStart w:id="55" w:name="_Toc12747"/>
      <w:bookmarkEnd w:id="55"/>
      <w:bookmarkStart w:id="56" w:name="_Toc76462322"/>
      <w:bookmarkEnd w:id="56"/>
      <w:bookmarkStart w:id="57" w:name="_Toc11939"/>
      <w:bookmarkEnd w:id="57"/>
      <w:bookmarkStart w:id="58" w:name="_Toc373860294"/>
      <w:bookmarkEnd w:id="58"/>
      <w:bookmarkStart w:id="59" w:name="_Toc106030875"/>
      <w:bookmarkEnd w:id="59"/>
      <w:bookmarkStart w:id="60" w:name="_Toc479668114"/>
      <w:bookmarkEnd w:id="60"/>
      <w:bookmarkStart w:id="61" w:name="_Toc5159"/>
      <w:bookmarkStart w:id="62" w:name="_Toc28996"/>
      <w:r>
        <w:rPr>
          <w:rFonts w:hint="eastAsia" w:asciiTheme="minorEastAsia" w:hAnsiTheme="minorEastAsia" w:eastAsiaTheme="minorEastAsia" w:cstheme="minorEastAsia"/>
          <w:color w:val="auto"/>
          <w:sz w:val="24"/>
          <w:szCs w:val="24"/>
          <w:highlight w:val="none"/>
          <w:lang w:val="en-US" w:eastAsia="zh-CN"/>
        </w:rPr>
        <w:t>（一）比选保证金的金额</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本项目要求供应商递交比选保证金：人民币10000元（大写：壹万元整）。</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（二）比选保证金递交时间：递交响应文件的同时向比选人递交比选保证金。</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（三）比选保证金的缴纳形式：各供应商将比选保证金(</w:t>
      </w:r>
      <w:r>
        <w:rPr>
          <w:rFonts w:hint="eastAsia" w:asciiTheme="minorEastAsia" w:hAnsiTheme="minorEastAsia" w:eastAsiaTheme="minorEastAsia" w:cstheme="minorEastAsia"/>
          <w:b/>
          <w:bCs/>
          <w:color w:val="auto"/>
          <w:sz w:val="24"/>
          <w:szCs w:val="24"/>
          <w:highlight w:val="none"/>
          <w:lang w:val="en-US" w:eastAsia="zh-CN"/>
        </w:rPr>
        <w:t>现金</w:t>
      </w:r>
      <w:r>
        <w:rPr>
          <w:rFonts w:hint="eastAsia" w:asciiTheme="minorEastAsia" w:hAnsiTheme="minorEastAsia" w:eastAsiaTheme="minorEastAsia" w:cstheme="minorEastAsia"/>
          <w:color w:val="auto"/>
          <w:sz w:val="24"/>
          <w:szCs w:val="24"/>
          <w:highlight w:val="none"/>
          <w:lang w:val="en-US" w:eastAsia="zh-CN"/>
        </w:rPr>
        <w:t>)自行密封并注明项目名称、供应商名称、联系人、联系电话后加盖供应商单位公章。</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（四）退还方式</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评选结束后，比选人将退还除成交供应商以外的供应商的比选保证金，合同签订后无息退还成交供应商的比选保证金。</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2811"/>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61"/>
      <w:bookmarkEnd w:id="62"/>
      <w:bookmarkEnd w:id="63"/>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w:t>
      </w:r>
      <w:r>
        <w:rPr>
          <w:rFonts w:hint="eastAsia" w:ascii="宋体" w:hAnsi="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“中国采购与招标网”（https://www.chinabidding.com.cn/）</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）本项目不接受合同分包，否则按无效处理。</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64"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64"/>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5" w:name="_Toc76462323"/>
      <w:bookmarkEnd w:id="65"/>
      <w:bookmarkStart w:id="66" w:name="_Toc106030877"/>
      <w:bookmarkEnd w:id="66"/>
      <w:bookmarkStart w:id="67" w:name="_Toc32225"/>
      <w:bookmarkEnd w:id="67"/>
      <w:bookmarkStart w:id="68" w:name="_Toc3054"/>
      <w:bookmarkStart w:id="69" w:name="_Toc31248"/>
      <w:bookmarkStart w:id="70" w:name="_Toc1504"/>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68"/>
      <w:bookmarkEnd w:id="69"/>
      <w:bookmarkEnd w:id="70"/>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胥</w:t>
      </w:r>
      <w:r>
        <w:rPr>
          <w:rFonts w:hint="eastAsia" w:ascii="宋体" w:hAnsi="宋体" w:eastAsia="宋体" w:cs="宋体"/>
          <w:sz w:val="24"/>
          <w:szCs w:val="24"/>
          <w:highlight w:val="none"/>
        </w:rPr>
        <w:t>老师</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szCs w:val="24"/>
          <w:highlight w:val="none"/>
        </w:rPr>
        <w:t>电  话：023-</w:t>
      </w:r>
      <w:r>
        <w:rPr>
          <w:rFonts w:hint="eastAsia" w:ascii="宋体" w:hAnsi="宋体" w:eastAsia="宋体" w:cs="宋体"/>
          <w:sz w:val="24"/>
          <w:szCs w:val="24"/>
          <w:highlight w:val="none"/>
          <w:lang w:val="en-US" w:eastAsia="zh-CN"/>
        </w:rPr>
        <w:t>63086109</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华春建设工程项目管理有限责任公司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温老师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023-86394748</w:t>
      </w:r>
    </w:p>
    <w:p>
      <w:pP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重庆市江北区建新东路82号</w:t>
      </w:r>
    </w:p>
    <w:p>
      <w:pP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3"/>
        <w:rPr>
          <w:rFonts w:hAnsi="宋体" w:cs="宋体"/>
          <w:sz w:val="24"/>
          <w:szCs w:val="24"/>
          <w:highlight w:val="none"/>
        </w:rPr>
      </w:pPr>
      <w:bookmarkStart w:id="71" w:name="_Toc106030878"/>
      <w:bookmarkEnd w:id="71"/>
      <w:bookmarkStart w:id="72" w:name="_Toc76462324"/>
      <w:bookmarkEnd w:id="72"/>
      <w:bookmarkStart w:id="73" w:name="_Toc3523"/>
      <w:bookmarkEnd w:id="73"/>
      <w:bookmarkStart w:id="74" w:name="_Toc26914"/>
      <w:bookmarkStart w:id="75" w:name="_Toc21696"/>
      <w:r>
        <w:rPr>
          <w:rFonts w:hint="eastAsia" w:hAnsi="宋体" w:cs="宋体"/>
          <w:sz w:val="24"/>
          <w:szCs w:val="24"/>
          <w:highlight w:val="none"/>
        </w:rPr>
        <w:t>附件</w:t>
      </w:r>
      <w:bookmarkEnd w:id="74"/>
      <w:bookmarkEnd w:id="75"/>
    </w:p>
    <w:p>
      <w:pPr>
        <w:rPr>
          <w:rFonts w:ascii="宋体" w:hAnsi="宋体" w:cs="宋体"/>
          <w:b/>
          <w:sz w:val="24"/>
          <w:szCs w:val="2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lang w:eastAsia="zh-CN"/>
        </w:rPr>
        <w:t>比选文件发售登记表</w:t>
      </w:r>
    </w:p>
    <w:p>
      <w:pPr>
        <w:jc w:val="left"/>
        <w:rPr>
          <w:rFonts w:ascii="宋体" w:hAnsi="宋体" w:cs="宋体"/>
          <w:b/>
          <w:bCs/>
          <w:spacing w:val="40"/>
          <w:highlight w:val="none"/>
        </w:rPr>
      </w:pPr>
    </w:p>
    <w:tbl>
      <w:tblPr>
        <w:tblStyle w:val="60"/>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pPr>
              <w:jc w:val="left"/>
              <w:rPr>
                <w:rFonts w:ascii="宋体" w:hAnsi="宋体" w:cs="宋体"/>
                <w:sz w:val="24"/>
                <w:szCs w:val="24"/>
                <w:highlight w:val="none"/>
              </w:rPr>
            </w:pPr>
            <w:r>
              <w:rPr>
                <w:rFonts w:hint="eastAsia" w:ascii="宋体" w:hAnsi="宋体" w:cs="宋体"/>
                <w:sz w:val="24"/>
                <w:szCs w:val="24"/>
                <w:highlight w:val="none"/>
              </w:rPr>
              <w:t>项目编号：</w:t>
            </w:r>
          </w:p>
          <w:p>
            <w:pPr>
              <w:jc w:val="left"/>
              <w:rPr>
                <w:rFonts w:ascii="宋体" w:hAnsi="宋体" w:cs="宋体"/>
                <w:sz w:val="24"/>
                <w:szCs w:val="24"/>
                <w:highlight w:val="none"/>
              </w:rPr>
            </w:pPr>
            <w:r>
              <w:rPr>
                <w:rFonts w:hint="eastAsia" w:ascii="宋体" w:hAnsi="宋体" w:cs="宋体"/>
                <w:sz w:val="24"/>
                <w:szCs w:val="24"/>
                <w:highlight w:val="none"/>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7658" w:type="dxa"/>
            <w:gridSpan w:val="3"/>
            <w:vAlign w:val="bottom"/>
          </w:tcPr>
          <w:p>
            <w:pPr>
              <w:spacing w:line="360" w:lineRule="exact"/>
              <w:jc w:val="right"/>
              <w:rPr>
                <w:rFonts w:ascii="宋体" w:hAnsi="宋体" w:cs="宋体"/>
                <w:sz w:val="24"/>
                <w:szCs w:val="24"/>
                <w:highlight w:val="none"/>
              </w:rPr>
            </w:pPr>
            <w:r>
              <w:rPr>
                <w:rFonts w:hint="eastAsia" w:ascii="宋体" w:hAnsi="宋体" w:cs="宋体"/>
                <w:sz w:val="24"/>
                <w:szCs w:val="24"/>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129" w:type="dxa"/>
            <w:vAlign w:val="center"/>
          </w:tcPr>
          <w:p>
            <w:pPr>
              <w:spacing w:line="360" w:lineRule="exact"/>
              <w:jc w:val="left"/>
              <w:rPr>
                <w:rFonts w:ascii="宋体" w:hAnsi="宋体" w:cs="宋体"/>
                <w:sz w:val="24"/>
                <w:szCs w:val="24"/>
                <w:highlight w:val="none"/>
              </w:rPr>
            </w:pPr>
          </w:p>
        </w:tc>
        <w:tc>
          <w:tcPr>
            <w:tcW w:w="1528" w:type="dxa"/>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手机</w:t>
            </w:r>
          </w:p>
        </w:tc>
        <w:tc>
          <w:tcPr>
            <w:tcW w:w="4001" w:type="dxa"/>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办公电话</w:t>
            </w:r>
          </w:p>
        </w:tc>
        <w:tc>
          <w:tcPr>
            <w:tcW w:w="2129" w:type="dxa"/>
            <w:vAlign w:val="center"/>
          </w:tcPr>
          <w:p>
            <w:pPr>
              <w:spacing w:line="360" w:lineRule="exact"/>
              <w:jc w:val="left"/>
              <w:rPr>
                <w:rFonts w:ascii="宋体" w:hAnsi="宋体" w:cs="宋体"/>
                <w:sz w:val="24"/>
                <w:szCs w:val="24"/>
                <w:highlight w:val="none"/>
              </w:rPr>
            </w:pPr>
          </w:p>
        </w:tc>
        <w:tc>
          <w:tcPr>
            <w:tcW w:w="1528" w:type="dxa"/>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传真</w:t>
            </w:r>
          </w:p>
        </w:tc>
        <w:tc>
          <w:tcPr>
            <w:tcW w:w="4001" w:type="dxa"/>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邮箱</w:t>
            </w:r>
          </w:p>
        </w:tc>
        <w:tc>
          <w:tcPr>
            <w:tcW w:w="7658" w:type="dxa"/>
            <w:gridSpan w:val="3"/>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58" w:type="dxa"/>
            <w:gridSpan w:val="3"/>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温</w:t>
            </w:r>
            <w:r>
              <w:rPr>
                <w:rFonts w:hint="eastAsia" w:ascii="宋体" w:hAnsi="宋体" w:cs="宋体"/>
                <w:sz w:val="24"/>
                <w:szCs w:val="24"/>
                <w:highlight w:val="none"/>
              </w:rPr>
              <w:t>老师        电话：023-8639474</w:t>
            </w:r>
            <w:r>
              <w:rPr>
                <w:rFonts w:hint="eastAsia" w:ascii="宋体" w:hAnsi="宋体" w:cs="宋体"/>
                <w:sz w:val="24"/>
                <w:szCs w:val="24"/>
                <w:highlight w:val="none"/>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pPr>
              <w:jc w:val="left"/>
              <w:rPr>
                <w:rFonts w:ascii="宋体" w:hAnsi="宋体" w:cs="宋体"/>
                <w:sz w:val="24"/>
                <w:szCs w:val="24"/>
                <w:highlight w:val="none"/>
              </w:rPr>
            </w:pPr>
            <w:r>
              <w:rPr>
                <w:rFonts w:hint="eastAsia" w:ascii="宋体" w:hAnsi="宋体" w:cs="宋体"/>
                <w:sz w:val="24"/>
                <w:szCs w:val="24"/>
                <w:highlight w:val="none"/>
                <w:lang w:val="en-US" w:eastAsia="zh-CN"/>
              </w:rPr>
              <w:t>比选文件发售期</w:t>
            </w:r>
            <w:r>
              <w:rPr>
                <w:rFonts w:hint="eastAsia" w:ascii="宋体" w:hAnsi="宋体" w:cs="宋体"/>
                <w:sz w:val="24"/>
                <w:szCs w:val="24"/>
                <w:highlight w:val="none"/>
              </w:rPr>
              <w:t>：</w:t>
            </w:r>
            <w:r>
              <w:rPr>
                <w:rFonts w:hint="eastAsia" w:ascii="宋体" w:hAnsi="宋体" w:cs="宋体"/>
                <w:sz w:val="24"/>
                <w:szCs w:val="24"/>
                <w:highlight w:val="none"/>
                <w:lang w:val="en-US" w:eastAsia="zh-CN"/>
              </w:rPr>
              <w:t>2025年7月 21日-2025年7月24日</w:t>
            </w:r>
          </w:p>
        </w:tc>
      </w:tr>
    </w:tbl>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未在规定时间内</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《比选文件发售登记表》发送至</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邮箱的供应商不具备投标资格</w:t>
      </w:r>
      <w:r>
        <w:rPr>
          <w:rFonts w:hint="eastAsia" w:asciiTheme="minorEastAsia" w:hAnsiTheme="minorEastAsia" w:eastAsiaTheme="minorEastAsia" w:cstheme="minorEastAsia"/>
          <w:color w:val="auto"/>
          <w:sz w:val="24"/>
          <w:szCs w:val="24"/>
          <w:highlight w:val="none"/>
          <w:lang w:eastAsia="zh-CN"/>
        </w:rPr>
        <w:t>。</w:t>
      </w: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highlight w:val="none"/>
        </w:rPr>
      </w:pPr>
    </w:p>
    <w:p>
      <w:pPr>
        <w:pStyle w:val="4"/>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76" w:name="_Toc28796"/>
      <w:bookmarkStart w:id="77" w:name="_Toc31059"/>
      <w:bookmarkStart w:id="78" w:name="_Toc20389"/>
      <w:r>
        <w:rPr>
          <w:rFonts w:hint="eastAsia" w:asciiTheme="minorEastAsia" w:hAnsiTheme="minorEastAsia" w:eastAsiaTheme="minorEastAsia" w:cstheme="minorEastAsia"/>
          <w:bCs/>
          <w:color w:val="auto"/>
          <w:sz w:val="36"/>
          <w:szCs w:val="30"/>
          <w:highlight w:val="none"/>
        </w:rPr>
        <w:t>第二篇  项目服务需求</w:t>
      </w:r>
      <w:bookmarkEnd w:id="76"/>
      <w:bookmarkEnd w:id="77"/>
      <w:bookmarkEnd w:id="78"/>
    </w:p>
    <w:p>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79" w:name="_Toc14460"/>
      <w:bookmarkEnd w:id="79"/>
      <w:bookmarkStart w:id="80" w:name="_Toc76462325"/>
      <w:bookmarkEnd w:id="80"/>
      <w:bookmarkStart w:id="81" w:name="_Toc106030879"/>
      <w:bookmarkEnd w:id="81"/>
      <w:bookmarkStart w:id="82" w:name="_Toc24129"/>
      <w:bookmarkStart w:id="83" w:name="_Toc65660339"/>
      <w:bookmarkStart w:id="84" w:name="_Toc446"/>
      <w:bookmarkStart w:id="85" w:name="_Toc106034779"/>
      <w:bookmarkStart w:id="86" w:name="_Toc26971"/>
      <w:bookmarkStart w:id="87" w:name="_Toc30679"/>
      <w:bookmarkStart w:id="88" w:name="_Toc23224"/>
      <w:bookmarkStart w:id="89" w:name="_Toc12789058"/>
      <w:bookmarkStart w:id="90" w:name="_Toc8186"/>
      <w:r>
        <w:rPr>
          <w:rFonts w:hint="eastAsia" w:ascii="宋体" w:hAnsi="宋体" w:eastAsia="宋体" w:cs="宋体"/>
          <w:sz w:val="24"/>
          <w:highlight w:val="none"/>
        </w:rPr>
        <w:t>一、项目一览表</w:t>
      </w:r>
      <w:bookmarkEnd w:id="82"/>
      <w:bookmarkEnd w:id="83"/>
      <w:bookmarkEnd w:id="84"/>
      <w:bookmarkEnd w:id="85"/>
      <w:bookmarkEnd w:id="86"/>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51"/>
        <w:gridCol w:w="1770"/>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69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lang w:val="en-US" w:eastAsia="zh-CN"/>
              </w:rPr>
              <w:t>项目</w:t>
            </w:r>
            <w:r>
              <w:rPr>
                <w:rFonts w:hint="eastAsia" w:ascii="宋体" w:hAnsi="宋体" w:eastAsia="宋体" w:cs="宋体"/>
                <w:b/>
                <w:bCs/>
                <w:kern w:val="0"/>
                <w:sz w:val="21"/>
                <w:szCs w:val="24"/>
                <w:highlight w:val="none"/>
              </w:rPr>
              <w:t>名称</w:t>
            </w:r>
          </w:p>
        </w:tc>
        <w:tc>
          <w:tcPr>
            <w:tcW w:w="135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最</w:t>
            </w:r>
            <w:r>
              <w:rPr>
                <w:rFonts w:hint="eastAsia" w:ascii="宋体" w:hAnsi="宋体" w:eastAsia="宋体" w:cs="宋体"/>
                <w:b/>
                <w:bCs/>
                <w:kern w:val="0"/>
                <w:sz w:val="21"/>
                <w:szCs w:val="24"/>
                <w:highlight w:val="none"/>
                <w:lang w:val="en-US" w:eastAsia="zh-CN"/>
              </w:rPr>
              <w:t>低</w:t>
            </w:r>
            <w:r>
              <w:rPr>
                <w:rFonts w:hint="eastAsia" w:ascii="宋体" w:hAnsi="宋体" w:eastAsia="宋体" w:cs="宋体"/>
                <w:b/>
                <w:bCs/>
                <w:kern w:val="0"/>
                <w:sz w:val="21"/>
                <w:szCs w:val="24"/>
                <w:highlight w:val="none"/>
              </w:rPr>
              <w:t>限价（万元</w:t>
            </w:r>
            <w:r>
              <w:rPr>
                <w:rFonts w:hint="eastAsia" w:ascii="宋体" w:hAnsi="宋体" w:eastAsia="宋体" w:cs="宋体"/>
                <w:b/>
                <w:bCs/>
                <w:kern w:val="0"/>
                <w:sz w:val="21"/>
                <w:szCs w:val="24"/>
                <w:highlight w:val="none"/>
                <w:lang w:val="en-US" w:eastAsia="zh-CN"/>
              </w:rPr>
              <w:t>/年</w:t>
            </w:r>
            <w:r>
              <w:rPr>
                <w:rFonts w:hint="eastAsia" w:ascii="宋体" w:hAnsi="宋体" w:eastAsia="宋体" w:cs="宋体"/>
                <w:b/>
                <w:bCs/>
                <w:kern w:val="0"/>
                <w:sz w:val="21"/>
                <w:szCs w:val="24"/>
                <w:highlight w:val="none"/>
              </w:rPr>
              <w:t>）</w:t>
            </w:r>
          </w:p>
        </w:tc>
        <w:tc>
          <w:tcPr>
            <w:tcW w:w="177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成交供应商数量（名）</w:t>
            </w:r>
          </w:p>
        </w:tc>
        <w:tc>
          <w:tcPr>
            <w:tcW w:w="25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4"/>
                <w:highlight w:val="none"/>
                <w:lang w:eastAsia="zh-CN"/>
              </w:rPr>
            </w:pPr>
            <w:r>
              <w:rPr>
                <w:rFonts w:hint="eastAsia" w:ascii="宋体" w:hAnsi="宋体" w:cs="宋体"/>
                <w:kern w:val="0"/>
                <w:sz w:val="21"/>
                <w:szCs w:val="24"/>
                <w:highlight w:val="none"/>
                <w:lang w:eastAsia="zh-CN"/>
              </w:rPr>
              <w:t>重庆园博园主入口室外停车场充电桩项目（重新招标）</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rPr>
            </w:pPr>
            <w:r>
              <w:rPr>
                <w:rFonts w:hint="eastAsia" w:ascii="宋体" w:hAnsi="宋体" w:eastAsia="宋体" w:cs="宋体"/>
                <w:sz w:val="21"/>
                <w:szCs w:val="21"/>
                <w:highlight w:val="none"/>
                <w:lang w:val="en-US" w:eastAsia="zh-CN"/>
              </w:rPr>
              <w:t>4.5</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采取纯租赁的形式，充电桩不低于18个，合作期5年。</w:t>
            </w:r>
          </w:p>
        </w:tc>
      </w:tr>
    </w:tbl>
    <w:p>
      <w:pPr>
        <w:pStyle w:val="4"/>
        <w:adjustRightInd w:val="0"/>
        <w:snapToGrid w:val="0"/>
        <w:spacing w:before="0" w:after="0" w:line="400" w:lineRule="exact"/>
        <w:ind w:firstLine="482" w:firstLineChars="200"/>
        <w:rPr>
          <w:rFonts w:hint="default" w:ascii="宋体" w:hAnsi="宋体" w:eastAsia="宋体" w:cs="宋体"/>
          <w:sz w:val="24"/>
          <w:highlight w:val="none"/>
          <w:lang w:val="en-US"/>
        </w:rPr>
      </w:pPr>
      <w:bookmarkStart w:id="91" w:name="_Toc11439"/>
      <w:bookmarkStart w:id="92" w:name="_Toc106034780"/>
      <w:bookmarkStart w:id="93" w:name="_Toc65660340"/>
      <w:bookmarkStart w:id="94" w:name="_Toc2119"/>
      <w:bookmarkStart w:id="95" w:name="_Toc10723"/>
      <w:r>
        <w:rPr>
          <w:rFonts w:hint="eastAsia" w:ascii="宋体" w:hAnsi="宋体" w:eastAsia="宋体" w:cs="宋体"/>
          <w:sz w:val="24"/>
          <w:highlight w:val="none"/>
        </w:rPr>
        <w:t>二、</w:t>
      </w:r>
      <w:bookmarkEnd w:id="91"/>
      <w:bookmarkEnd w:id="92"/>
      <w:bookmarkEnd w:id="93"/>
      <w:bookmarkEnd w:id="94"/>
      <w:bookmarkEnd w:id="95"/>
      <w:r>
        <w:rPr>
          <w:rFonts w:hint="eastAsia" w:ascii="宋体" w:hAnsi="宋体" w:eastAsia="宋体" w:cs="宋体"/>
          <w:sz w:val="24"/>
          <w:highlight w:val="none"/>
          <w:lang w:val="en-US" w:eastAsia="zh-CN"/>
        </w:rPr>
        <w:t>项目内容</w:t>
      </w:r>
    </w:p>
    <w:p>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充电车位除了超充能独立管理，其余均开放管理。</w:t>
      </w:r>
    </w:p>
    <w:p>
      <w:pPr>
        <w:snapToGrid w:val="0"/>
        <w:spacing w:line="400" w:lineRule="exact"/>
        <w:ind w:firstLine="360" w:firstLineChars="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2.采取</w:t>
      </w:r>
      <w:r>
        <w:rPr>
          <w:rFonts w:hint="eastAsia" w:ascii="宋体" w:hAnsi="宋体" w:eastAsia="宋体" w:cs="宋体"/>
          <w:sz w:val="24"/>
          <w:szCs w:val="24"/>
          <w:highlight w:val="none"/>
          <w:lang w:val="en-US" w:eastAsia="zh-CN"/>
        </w:rPr>
        <w:t>纯</w:t>
      </w:r>
      <w:r>
        <w:rPr>
          <w:rFonts w:hint="eastAsia" w:ascii="宋体" w:hAnsi="宋体" w:eastAsia="宋体" w:cs="宋体"/>
          <w:sz w:val="24"/>
          <w:szCs w:val="24"/>
          <w:highlight w:val="none"/>
        </w:rPr>
        <w:t>租赁的形式</w:t>
      </w:r>
      <w:r>
        <w:rPr>
          <w:rFonts w:hint="eastAsia" w:ascii="宋体" w:hAnsi="宋体" w:eastAsia="宋体" w:cs="宋体"/>
          <w:sz w:val="24"/>
          <w:szCs w:val="24"/>
          <w:highlight w:val="none"/>
          <w:lang w:val="en-US" w:eastAsia="zh-CN"/>
        </w:rPr>
        <w:t>。最低限价为4.5万元/年，供应商报价不低于最低限价，否则按无效处理。</w:t>
      </w:r>
    </w:p>
    <w:p>
      <w:pPr>
        <w:snapToGrid w:val="0"/>
        <w:spacing w:line="400" w:lineRule="exact"/>
        <w:ind w:firstLine="360" w:firstLineChars="1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最低建设数量：充电桩总计建设数量不低于18个。建设方案需提前征得业主方同意，并提交产品质检报告。</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lang w:val="en-US" w:eastAsia="zh-CN"/>
        </w:rPr>
        <w:t>自行承担修建充电桩的全部费用，</w:t>
      </w:r>
      <w:r>
        <w:rPr>
          <w:rFonts w:hint="eastAsia" w:ascii="宋体" w:hAnsi="宋体" w:eastAsia="宋体" w:cs="宋体"/>
          <w:sz w:val="24"/>
          <w:szCs w:val="24"/>
          <w:highlight w:val="none"/>
          <w:lang w:eastAsia="zh-CN"/>
        </w:rPr>
        <w:t>建设完成后成交供应商提供租赁服务，并实施租赁期内的免费维护保养、运营。</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4.5年合同期内</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lang w:val="en-US" w:eastAsia="zh-CN"/>
        </w:rPr>
        <w:t>应无条件服从比选人的管理，合同到期后，如比选人需恢复原状，</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lang w:val="en-US" w:eastAsia="zh-CN"/>
        </w:rPr>
        <w:t>应无条件恢复原状。</w:t>
      </w:r>
    </w:p>
    <w:p>
      <w:pPr>
        <w:keepNext w:val="0"/>
        <w:keepLines w:val="0"/>
        <w:widowControl/>
        <w:suppressLineNumbers w:val="0"/>
        <w:ind w:firstLine="482" w:firstLineChars="200"/>
        <w:jc w:val="left"/>
        <w:rPr>
          <w:rFonts w:hint="eastAsia" w:ascii="宋体" w:hAnsi="宋体" w:eastAsia="宋体" w:cs="宋体"/>
          <w:b/>
          <w:sz w:val="24"/>
          <w:highlight w:val="none"/>
        </w:rPr>
      </w:pPr>
      <w:r>
        <w:rPr>
          <w:rFonts w:hint="eastAsia" w:ascii="宋体" w:hAnsi="宋体" w:eastAsia="宋体" w:cs="宋体"/>
          <w:b/>
          <w:bCs w:val="0"/>
          <w:sz w:val="24"/>
          <w:szCs w:val="20"/>
          <w:highlight w:val="none"/>
          <w:vertAlign w:val="baseline"/>
          <w:lang w:val="en-US" w:eastAsia="zh-CN"/>
        </w:rPr>
        <w:t>三、充电桩</w:t>
      </w:r>
      <w:r>
        <w:rPr>
          <w:rFonts w:hint="eastAsia" w:ascii="宋体" w:hAnsi="宋体" w:eastAsia="宋体" w:cs="宋体"/>
          <w:b/>
          <w:bCs w:val="0"/>
          <w:kern w:val="2"/>
          <w:sz w:val="24"/>
          <w:szCs w:val="20"/>
          <w:highlight w:val="none"/>
          <w:lang w:val="en-US" w:eastAsia="zh-CN" w:bidi="ar-SA"/>
        </w:rPr>
        <w:t>适用技术规范与规范性文件</w:t>
      </w:r>
    </w:p>
    <w:p>
      <w:pPr>
        <w:snapToGrid w:val="0"/>
        <w:spacing w:line="400" w:lineRule="exact"/>
        <w:ind w:firstLine="480" w:firstLineChars="200"/>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充电桩的建设包括但不限于以下标准文件：</w:t>
      </w:r>
    </w:p>
    <w:p>
      <w:pPr>
        <w:snapToGrid w:val="0"/>
        <w:spacing w:line="400" w:lineRule="exact"/>
        <w:ind w:firstLine="480" w:firstLineChars="20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（1）GB/T 18487.1-2023</w:t>
      </w:r>
      <w:r>
        <w:rPr>
          <w:rFonts w:hint="default" w:ascii="宋体" w:hAnsi="宋体" w:eastAsia="宋体" w:cs="宋体"/>
          <w:b w:val="0"/>
          <w:bCs w:val="0"/>
          <w:sz w:val="24"/>
          <w:szCs w:val="24"/>
          <w:highlight w:val="none"/>
          <w:vertAlign w:val="baseline"/>
          <w:lang w:val="en-US" w:eastAsia="zh-CN"/>
        </w:rPr>
        <w:t>《电动汽车传导充电系统 第1部分：通用要求》</w:t>
      </w:r>
    </w:p>
    <w:p>
      <w:pPr>
        <w:snapToGrid w:val="0"/>
        <w:spacing w:line="400" w:lineRule="exact"/>
        <w:ind w:firstLine="480" w:firstLineChars="20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r>
        <w:rPr>
          <w:rFonts w:hint="default" w:ascii="宋体" w:hAnsi="宋体" w:eastAsia="宋体" w:cs="宋体"/>
          <w:b w:val="0"/>
          <w:bCs w:val="0"/>
          <w:sz w:val="24"/>
          <w:szCs w:val="24"/>
          <w:highlight w:val="none"/>
          <w:vertAlign w:val="baseline"/>
          <w:lang w:val="en-US" w:eastAsia="zh-CN"/>
        </w:rPr>
        <w:t>NB/T33001-2018《电动汽车非车载传导式充电机技术条件》</w:t>
      </w:r>
    </w:p>
    <w:p>
      <w:pPr>
        <w:snapToGrid w:val="0"/>
        <w:spacing w:line="400" w:lineRule="exact"/>
        <w:ind w:left="476" w:leftChars="170" w:firstLine="0" w:firstLineChars="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r>
        <w:rPr>
          <w:rFonts w:hint="default" w:ascii="宋体" w:hAnsi="宋体" w:eastAsia="宋体" w:cs="宋体"/>
          <w:b w:val="0"/>
          <w:bCs w:val="0"/>
          <w:sz w:val="24"/>
          <w:szCs w:val="24"/>
          <w:highlight w:val="none"/>
          <w:vertAlign w:val="baseline"/>
          <w:lang w:val="en-US" w:eastAsia="zh-CN"/>
        </w:rPr>
        <w:t>NB/T33008.1-2018《电动汽车充电设备检验试验规范 第 1 部分:非车载充电机》</w:t>
      </w:r>
      <w:r>
        <w:rPr>
          <w:rFonts w:hint="eastAsia" w:ascii="宋体" w:hAnsi="宋体" w:eastAsia="宋体" w:cs="宋体"/>
          <w:b w:val="0"/>
          <w:bCs w:val="0"/>
          <w:sz w:val="24"/>
          <w:szCs w:val="24"/>
          <w:highlight w:val="none"/>
          <w:vertAlign w:val="baseline"/>
          <w:lang w:val="en-US" w:eastAsia="zh-CN"/>
        </w:rPr>
        <w:t>（4）</w:t>
      </w:r>
      <w:r>
        <w:rPr>
          <w:rFonts w:hint="default" w:ascii="宋体" w:hAnsi="宋体" w:eastAsia="宋体" w:cs="宋体"/>
          <w:b w:val="0"/>
          <w:bCs w:val="0"/>
          <w:sz w:val="24"/>
          <w:szCs w:val="24"/>
          <w:highlight w:val="none"/>
          <w:vertAlign w:val="baseline"/>
          <w:lang w:val="en-US" w:eastAsia="zh-CN"/>
        </w:rPr>
        <w:t>GB/T34657.1-2017《电动汽车传导充电互操作性测试规范 第 1 部分:供电设备》</w:t>
      </w:r>
      <w:r>
        <w:rPr>
          <w:rFonts w:hint="eastAsia" w:ascii="宋体" w:hAnsi="宋体" w:eastAsia="宋体" w:cs="宋体"/>
          <w:b w:val="0"/>
          <w:bCs w:val="0"/>
          <w:sz w:val="24"/>
          <w:szCs w:val="24"/>
          <w:highlight w:val="none"/>
          <w:vertAlign w:val="baseline"/>
          <w:lang w:val="en-US" w:eastAsia="zh-CN"/>
        </w:rPr>
        <w:t>（5）</w:t>
      </w:r>
      <w:r>
        <w:rPr>
          <w:rFonts w:ascii="宋体" w:hAnsi="宋体" w:eastAsia="宋体" w:cs="宋体"/>
          <w:b w:val="0"/>
          <w:i w:val="0"/>
          <w:iCs w:val="0"/>
          <w:caps w:val="0"/>
          <w:spacing w:val="0"/>
          <w:sz w:val="24"/>
          <w:szCs w:val="24"/>
          <w:highlight w:val="none"/>
          <w:shd w:val="clear" w:color="auto" w:fill="auto"/>
        </w:rPr>
        <w:t>GB/T 27930-2023</w:t>
      </w:r>
      <w:r>
        <w:rPr>
          <w:rFonts w:hint="default" w:ascii="宋体" w:hAnsi="宋体" w:eastAsia="宋体" w:cs="宋体"/>
          <w:b w:val="0"/>
          <w:bCs w:val="0"/>
          <w:sz w:val="24"/>
          <w:szCs w:val="24"/>
          <w:highlight w:val="none"/>
          <w:vertAlign w:val="baseline"/>
          <w:lang w:val="en-US" w:eastAsia="zh-CN"/>
        </w:rPr>
        <w:t>《非车载传导式充电机与电动汽车之间的数字通信协议》</w:t>
      </w:r>
    </w:p>
    <w:p>
      <w:pPr>
        <w:snapToGrid w:val="0"/>
        <w:spacing w:line="400" w:lineRule="exact"/>
        <w:ind w:left="476" w:leftChars="170" w:firstLine="0" w:firstLineChars="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r>
        <w:rPr>
          <w:rFonts w:hint="default" w:ascii="宋体" w:hAnsi="宋体" w:eastAsia="宋体" w:cs="宋体"/>
          <w:b w:val="0"/>
          <w:bCs w:val="0"/>
          <w:sz w:val="24"/>
          <w:szCs w:val="24"/>
          <w:highlight w:val="none"/>
          <w:vertAlign w:val="baseline"/>
          <w:lang w:val="en-US" w:eastAsia="zh-CN"/>
        </w:rPr>
        <w:t>GB/T34658-2017《电动汽车非车载传导式充电机与电池管理系统之间的通信协议一致性测试》</w:t>
      </w:r>
    </w:p>
    <w:p>
      <w:pPr>
        <w:snapToGrid w:val="0"/>
        <w:spacing w:line="400" w:lineRule="exact"/>
        <w:ind w:left="476" w:leftChars="170" w:firstLine="0" w:firstLineChars="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r>
        <w:rPr>
          <w:rFonts w:hint="default" w:ascii="宋体" w:hAnsi="宋体" w:eastAsia="宋体" w:cs="宋体"/>
          <w:b w:val="0"/>
          <w:bCs w:val="0"/>
          <w:sz w:val="24"/>
          <w:szCs w:val="24"/>
          <w:highlight w:val="none"/>
          <w:vertAlign w:val="baseline"/>
          <w:lang w:val="en-US" w:eastAsia="zh-CN"/>
        </w:rPr>
        <w:t>GB/T39752-2021《电动汽车供电设备安全要求及试验规范》</w:t>
      </w:r>
    </w:p>
    <w:p>
      <w:pPr>
        <w:snapToGrid w:val="0"/>
        <w:spacing w:line="400" w:lineRule="exact"/>
        <w:ind w:left="476" w:leftChars="170" w:firstLine="0" w:firstLineChars="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r>
        <w:rPr>
          <w:rFonts w:hint="default" w:ascii="宋体" w:hAnsi="宋体" w:eastAsia="宋体" w:cs="宋体"/>
          <w:b w:val="0"/>
          <w:bCs w:val="0"/>
          <w:sz w:val="24"/>
          <w:szCs w:val="24"/>
          <w:highlight w:val="none"/>
          <w:vertAlign w:val="baseline"/>
          <w:lang w:val="en-US" w:eastAsia="zh-CN"/>
        </w:rPr>
        <w:t>GB/T18487.2-2017《电动汽车传导充电系统 第2部分:非车载传导供电设备电磁兼容要求》</w:t>
      </w:r>
    </w:p>
    <w:p>
      <w:pPr>
        <w:snapToGrid w:val="0"/>
        <w:spacing w:line="400" w:lineRule="exact"/>
        <w:ind w:firstLine="480" w:firstLineChars="200"/>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（9）《电动汽车充电设施建设技术标准》（DBJ50</w:t>
      </w:r>
      <w:r>
        <w:rPr>
          <w:rFonts w:hint="eastAsia" w:ascii="宋体" w:hAnsi="宋体" w:cs="宋体"/>
          <w:b w:val="0"/>
          <w:bCs w:val="0"/>
          <w:sz w:val="24"/>
          <w:szCs w:val="24"/>
          <w:highlight w:val="none"/>
          <w:vertAlign w:val="baseline"/>
          <w:lang w:val="en-US" w:eastAsia="zh-CN"/>
        </w:rPr>
        <w:t>-</w:t>
      </w:r>
      <w:r>
        <w:rPr>
          <w:rFonts w:hint="eastAsia" w:ascii="宋体" w:hAnsi="宋体" w:eastAsia="宋体" w:cs="宋体"/>
          <w:b w:val="0"/>
          <w:bCs w:val="0"/>
          <w:sz w:val="24"/>
          <w:szCs w:val="24"/>
          <w:highlight w:val="none"/>
          <w:vertAlign w:val="baseline"/>
          <w:lang w:val="en-US" w:eastAsia="zh-CN"/>
        </w:rPr>
        <w:t>218-2020）</w:t>
      </w:r>
    </w:p>
    <w:p>
      <w:pPr>
        <w:snapToGrid w:val="0"/>
        <w:spacing w:line="400" w:lineRule="exact"/>
        <w:ind w:firstLine="482" w:firstLineChars="200"/>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四、技术要求</w:t>
      </w:r>
    </w:p>
    <w:p>
      <w:pPr>
        <w:snapToGrid w:val="0"/>
        <w:spacing w:line="400" w:lineRule="exact"/>
        <w:ind w:firstLine="480" w:firstLineChars="200"/>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1.充电桩数量及规格</w:t>
      </w:r>
    </w:p>
    <w:tbl>
      <w:tblPr>
        <w:tblStyle w:val="60"/>
        <w:tblW w:w="8739" w:type="dxa"/>
        <w:jc w:val="center"/>
        <w:tblLayout w:type="fixed"/>
        <w:tblCellMar>
          <w:top w:w="0" w:type="dxa"/>
          <w:left w:w="108" w:type="dxa"/>
          <w:bottom w:w="0" w:type="dxa"/>
          <w:right w:w="108" w:type="dxa"/>
        </w:tblCellMar>
      </w:tblPr>
      <w:tblGrid>
        <w:gridCol w:w="811"/>
        <w:gridCol w:w="1467"/>
        <w:gridCol w:w="2582"/>
        <w:gridCol w:w="1290"/>
        <w:gridCol w:w="930"/>
        <w:gridCol w:w="1659"/>
      </w:tblGrid>
      <w:tr>
        <w:tblPrEx>
          <w:tblCellMar>
            <w:top w:w="0" w:type="dxa"/>
            <w:left w:w="108" w:type="dxa"/>
            <w:bottom w:w="0" w:type="dxa"/>
            <w:right w:w="108" w:type="dxa"/>
          </w:tblCellMar>
        </w:tblPrEx>
        <w:trPr>
          <w:trHeight w:val="649" w:hRule="atLeast"/>
          <w:jc w:val="center"/>
        </w:trPr>
        <w:tc>
          <w:tcPr>
            <w:tcW w:w="811" w:type="dxa"/>
            <w:tcBorders>
              <w:top w:val="single" w:color="000000" w:sz="4" w:space="0"/>
              <w:left w:val="single" w:color="000000" w:sz="4" w:space="0"/>
              <w:bottom w:val="single" w:color="000000" w:sz="4" w:space="0"/>
              <w:right w:val="single" w:color="000000" w:sz="4" w:space="0"/>
            </w:tcBorders>
            <w:noWrap w:val="0"/>
            <w:tcMar>
              <w:top w:w="15" w:type="dxa"/>
              <w:bottom w:w="15" w:type="dxa"/>
            </w:tcMar>
            <w:vAlign w:val="center"/>
          </w:tcPr>
          <w:p>
            <w:pPr>
              <w:widowControl/>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bottom w:w="15" w:type="dxa"/>
            </w:tcMar>
            <w:vAlign w:val="center"/>
          </w:tcPr>
          <w:p>
            <w:pPr>
              <w:widowControl/>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 名</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规格型号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30" w:type="dxa"/>
            <w:tcBorders>
              <w:top w:val="single" w:color="000000" w:sz="4" w:space="0"/>
              <w:left w:val="single" w:color="000000" w:sz="4" w:space="0"/>
              <w:bottom w:val="single" w:color="auto" w:sz="4" w:space="0"/>
              <w:right w:val="single" w:color="000000" w:sz="4" w:space="0"/>
            </w:tcBorders>
            <w:noWrap w:val="0"/>
            <w:tcMar>
              <w:top w:w="15" w:type="dxa"/>
              <w:bottom w:w="15" w:type="dxa"/>
            </w:tcMar>
            <w:vAlign w:val="center"/>
          </w:tcPr>
          <w:p>
            <w:pPr>
              <w:widowControl/>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1659" w:type="dxa"/>
            <w:tcBorders>
              <w:top w:val="single" w:color="000000" w:sz="4" w:space="0"/>
              <w:left w:val="single" w:color="000000" w:sz="4" w:space="0"/>
              <w:bottom w:val="single" w:color="auto" w:sz="4" w:space="0"/>
              <w:right w:val="single" w:color="000000" w:sz="4" w:space="0"/>
            </w:tcBorders>
            <w:noWrap w:val="0"/>
            <w:tcMar>
              <w:top w:w="15" w:type="dxa"/>
              <w:bottom w:w="15" w:type="dxa"/>
            </w:tcMar>
            <w:vAlign w:val="center"/>
          </w:tcPr>
          <w:p>
            <w:pPr>
              <w:widowControl/>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p>
            <w:pPr>
              <w:widowControl/>
              <w:spacing w:line="360" w:lineRule="auto"/>
              <w:jc w:val="center"/>
              <w:rPr>
                <w:rFonts w:hint="eastAsia" w:ascii="宋体" w:hAnsi="宋体" w:eastAsia="宋体" w:cs="宋体"/>
                <w:b/>
                <w:bCs/>
                <w:sz w:val="21"/>
                <w:szCs w:val="21"/>
                <w:highlight w:val="none"/>
                <w:lang w:val="en-US" w:eastAsia="zh-CN"/>
              </w:rPr>
            </w:pPr>
          </w:p>
        </w:tc>
      </w:tr>
      <w:tr>
        <w:tblPrEx>
          <w:tblCellMar>
            <w:top w:w="0" w:type="dxa"/>
            <w:left w:w="108" w:type="dxa"/>
            <w:bottom w:w="0" w:type="dxa"/>
            <w:right w:w="108" w:type="dxa"/>
          </w:tblCellMar>
        </w:tblPrEx>
        <w:trPr>
          <w:trHeight w:val="835" w:hRule="atLeast"/>
          <w:jc w:val="center"/>
        </w:trPr>
        <w:tc>
          <w:tcPr>
            <w:tcW w:w="811" w:type="dxa"/>
            <w:tcBorders>
              <w:top w:val="single" w:color="000000" w:sz="4" w:space="0"/>
              <w:left w:val="single" w:color="000000" w:sz="4" w:space="0"/>
              <w:bottom w:val="single" w:color="000000" w:sz="4" w:space="0"/>
              <w:right w:val="single" w:color="000000" w:sz="4" w:space="0"/>
            </w:tcBorders>
            <w:noWrap w:val="0"/>
            <w:tcMar>
              <w:top w:w="15" w:type="dxa"/>
              <w:bottom w:w="15" w:type="dxa"/>
            </w:tcMar>
            <w:vAlign w:val="center"/>
          </w:tcPr>
          <w:p>
            <w:pPr>
              <w:widowControl/>
              <w:numPr>
                <w:ilvl w:val="0"/>
                <w:numId w:val="13"/>
              </w:numPr>
              <w:spacing w:line="240" w:lineRule="auto"/>
              <w:ind w:left="630" w:leftChars="0" w:hanging="420" w:firstLineChars="0"/>
              <w:jc w:val="center"/>
              <w:rPr>
                <w:rFonts w:hint="eastAsia" w:ascii="宋体" w:hAnsi="宋体" w:eastAsia="宋体" w:cs="宋体"/>
                <w:bCs/>
                <w:sz w:val="21"/>
                <w:szCs w:val="21"/>
                <w:highlight w:val="none"/>
              </w:rPr>
            </w:pPr>
          </w:p>
        </w:tc>
        <w:tc>
          <w:tcPr>
            <w:tcW w:w="1467" w:type="dxa"/>
            <w:tcBorders>
              <w:top w:val="single" w:color="000000" w:sz="4" w:space="0"/>
              <w:left w:val="single" w:color="000000" w:sz="4" w:space="0"/>
              <w:bottom w:val="single" w:color="000000" w:sz="4" w:space="0"/>
              <w:right w:val="single" w:color="000000"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充电主机</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480-600KW全液冷主机</w:t>
            </w:r>
          </w:p>
        </w:tc>
        <w:tc>
          <w:tcPr>
            <w:tcW w:w="12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30"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59" w:type="dxa"/>
            <w:vMerge w:val="restart"/>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lang w:val="en-US" w:eastAsia="zh-CN"/>
              </w:rPr>
              <w:t>充电桩数量不低于18个</w:t>
            </w:r>
          </w:p>
        </w:tc>
      </w:tr>
      <w:tr>
        <w:tblPrEx>
          <w:tblCellMar>
            <w:top w:w="0" w:type="dxa"/>
            <w:left w:w="108" w:type="dxa"/>
            <w:bottom w:w="0" w:type="dxa"/>
            <w:right w:w="108" w:type="dxa"/>
          </w:tblCellMar>
        </w:tblPrEx>
        <w:trPr>
          <w:trHeight w:val="649" w:hRule="atLeast"/>
          <w:jc w:val="center"/>
        </w:trPr>
        <w:tc>
          <w:tcPr>
            <w:tcW w:w="811" w:type="dxa"/>
            <w:tcBorders>
              <w:top w:val="single" w:color="000000" w:sz="4" w:space="0"/>
              <w:left w:val="single" w:color="000000" w:sz="4" w:space="0"/>
              <w:bottom w:val="single" w:color="000000" w:sz="4" w:space="0"/>
              <w:right w:val="single" w:color="000000" w:sz="4" w:space="0"/>
            </w:tcBorders>
            <w:noWrap w:val="0"/>
            <w:tcMar>
              <w:top w:w="15" w:type="dxa"/>
              <w:bottom w:w="15" w:type="dxa"/>
            </w:tcMar>
            <w:vAlign w:val="center"/>
          </w:tcPr>
          <w:p>
            <w:pPr>
              <w:widowControl/>
              <w:numPr>
                <w:ilvl w:val="0"/>
                <w:numId w:val="13"/>
              </w:numPr>
              <w:spacing w:line="240" w:lineRule="auto"/>
              <w:ind w:left="630" w:leftChars="0" w:hanging="420" w:firstLineChars="0"/>
              <w:jc w:val="center"/>
              <w:rPr>
                <w:rFonts w:hint="eastAsia" w:ascii="宋体" w:hAnsi="宋体" w:eastAsia="宋体" w:cs="宋体"/>
                <w:bCs/>
                <w:sz w:val="21"/>
                <w:szCs w:val="21"/>
                <w:highlight w:val="none"/>
              </w:rPr>
            </w:pPr>
          </w:p>
        </w:tc>
        <w:tc>
          <w:tcPr>
            <w:tcW w:w="1467" w:type="dxa"/>
            <w:tcBorders>
              <w:top w:val="single" w:color="000000" w:sz="4" w:space="0"/>
              <w:left w:val="single" w:color="000000" w:sz="4" w:space="0"/>
              <w:bottom w:val="single" w:color="000000" w:sz="4" w:space="0"/>
              <w:right w:val="single" w:color="000000"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充电终端</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200-1000V,600A,液冷单枪</w:t>
            </w:r>
          </w:p>
        </w:tc>
        <w:tc>
          <w:tcPr>
            <w:tcW w:w="12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30"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659" w:type="dxa"/>
            <w:vMerge w:val="continue"/>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649" w:hRule="atLeast"/>
          <w:jc w:val="center"/>
        </w:trPr>
        <w:tc>
          <w:tcPr>
            <w:tcW w:w="811" w:type="dxa"/>
            <w:tcBorders>
              <w:top w:val="single" w:color="000000" w:sz="4" w:space="0"/>
              <w:left w:val="single" w:color="000000" w:sz="4" w:space="0"/>
              <w:bottom w:val="single" w:color="auto" w:sz="4" w:space="0"/>
              <w:right w:val="single" w:color="000000" w:sz="4" w:space="0"/>
            </w:tcBorders>
            <w:noWrap w:val="0"/>
            <w:tcMar>
              <w:top w:w="15" w:type="dxa"/>
              <w:bottom w:w="15" w:type="dxa"/>
            </w:tcMar>
            <w:vAlign w:val="center"/>
          </w:tcPr>
          <w:p>
            <w:pPr>
              <w:widowControl/>
              <w:numPr>
                <w:ilvl w:val="0"/>
                <w:numId w:val="13"/>
              </w:numPr>
              <w:spacing w:line="240" w:lineRule="auto"/>
              <w:ind w:left="630" w:leftChars="0" w:hanging="420" w:firstLineChars="0"/>
              <w:jc w:val="center"/>
              <w:rPr>
                <w:rFonts w:hint="eastAsia" w:ascii="宋体" w:hAnsi="宋体" w:eastAsia="宋体" w:cs="宋体"/>
                <w:bCs/>
                <w:sz w:val="21"/>
                <w:szCs w:val="21"/>
                <w:highlight w:val="none"/>
              </w:rPr>
            </w:pPr>
          </w:p>
        </w:tc>
        <w:tc>
          <w:tcPr>
            <w:tcW w:w="1467"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充电终端</w:t>
            </w:r>
          </w:p>
        </w:tc>
        <w:tc>
          <w:tcPr>
            <w:tcW w:w="25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200-1000V,250A,风冷双枪</w:t>
            </w:r>
          </w:p>
        </w:tc>
        <w:tc>
          <w:tcPr>
            <w:tcW w:w="129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30" w:type="dxa"/>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59" w:type="dxa"/>
            <w:vMerge w:val="continue"/>
            <w:tcBorders>
              <w:top w:val="single" w:color="auto" w:sz="4" w:space="0"/>
              <w:left w:val="single" w:color="auto" w:sz="4" w:space="0"/>
              <w:bottom w:val="single" w:color="auto" w:sz="4" w:space="0"/>
              <w:right w:val="single" w:color="auto"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p>
        </w:tc>
      </w:tr>
      <w:tr>
        <w:tblPrEx>
          <w:tblCellMar>
            <w:top w:w="0" w:type="dxa"/>
            <w:left w:w="108" w:type="dxa"/>
            <w:bottom w:w="0" w:type="dxa"/>
            <w:right w:w="108" w:type="dxa"/>
          </w:tblCellMar>
        </w:tblPrEx>
        <w:trPr>
          <w:trHeight w:val="896" w:hRule="atLeast"/>
          <w:jc w:val="center"/>
        </w:trPr>
        <w:tc>
          <w:tcPr>
            <w:tcW w:w="8739" w:type="dxa"/>
            <w:gridSpan w:val="6"/>
            <w:tcBorders>
              <w:top w:val="single" w:color="auto" w:sz="4" w:space="0"/>
              <w:left w:val="single" w:color="000000" w:sz="4" w:space="0"/>
              <w:bottom w:val="single" w:color="000000" w:sz="4" w:space="0"/>
              <w:right w:val="single" w:color="000000" w:sz="4" w:space="0"/>
            </w:tcBorders>
            <w:noWrap w:val="0"/>
            <w:tcMar>
              <w:top w:w="15" w:type="dxa"/>
              <w:bottom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备注：成交供应商实施本项目必须满足此表的基本要求参数，也可提供更高标准技术参数，否则比选人有权解除本项目合作协议，由此导致的损失由成交供应商自行承担。</w:t>
            </w:r>
          </w:p>
        </w:tc>
      </w:tr>
    </w:tbl>
    <w:p>
      <w:pPr>
        <w:snapToGrid w:val="0"/>
        <w:spacing w:line="400" w:lineRule="exact"/>
        <w:ind w:firstLine="480" w:firstLineChars="200"/>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2.技术参数</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56" w:lineRule="auto"/>
        <w:ind w:leftChars="0" w:firstLine="480" w:firstLineChars="200"/>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kern w:val="2"/>
          <w:sz w:val="24"/>
          <w:szCs w:val="24"/>
          <w:highlight w:val="none"/>
          <w:lang w:val="en-US" w:eastAsia="zh-CN" w:bidi="ar-SA"/>
        </w:rPr>
        <w:t>（1）充电主机AC-DC总功率480KW(单模块120KW)并具备可升级能力，DC-DC总功率600KW(单模块60KW),模块为全液冷并具备带液运输特性</w:t>
      </w:r>
      <w:r>
        <w:rPr>
          <w:rFonts w:hint="eastAsia" w:ascii="宋体" w:hAnsi="宋体" w:eastAsia="宋体" w:cs="宋体"/>
          <w:b/>
          <w:bCs/>
          <w:kern w:val="2"/>
          <w:sz w:val="24"/>
          <w:szCs w:val="24"/>
          <w:highlight w:val="none"/>
          <w:lang w:val="en-US" w:eastAsia="zh-CN" w:bidi="ar-SA"/>
        </w:rPr>
        <w:t>（供应商须提供第三方的质检报告复印件，并加盖供应商公章）</w:t>
      </w:r>
      <w:r>
        <w:rPr>
          <w:rFonts w:hint="eastAsia" w:ascii="宋体" w:hAnsi="宋体" w:eastAsia="宋体" w:cs="宋体"/>
          <w:bCs w:val="0"/>
          <w:kern w:val="2"/>
          <w:sz w:val="24"/>
          <w:szCs w:val="24"/>
          <w:highlight w:val="none"/>
          <w:lang w:val="en-US" w:eastAsia="zh-CN" w:bidi="ar-SA"/>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56"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val="0"/>
          <w:kern w:val="2"/>
          <w:sz w:val="24"/>
          <w:szCs w:val="24"/>
          <w:highlight w:val="none"/>
          <w:lang w:val="en-US" w:eastAsia="zh-CN" w:bidi="ar-SA"/>
        </w:rPr>
        <w:t>（2）</w:t>
      </w:r>
      <w:r>
        <w:rPr>
          <w:rFonts w:hint="eastAsia" w:ascii="宋体" w:hAnsi="宋体" w:eastAsia="宋体" w:cs="宋体"/>
          <w:sz w:val="24"/>
          <w:szCs w:val="24"/>
          <w:highlight w:val="none"/>
          <w:lang w:val="en-US" w:eastAsia="zh-CN"/>
        </w:rPr>
        <w:t>液冷单枪</w:t>
      </w:r>
      <w:r>
        <w:rPr>
          <w:rFonts w:hint="eastAsia" w:ascii="宋体" w:hAnsi="宋体" w:eastAsia="宋体" w:cs="宋体"/>
          <w:bCs w:val="0"/>
          <w:kern w:val="2"/>
          <w:sz w:val="24"/>
          <w:szCs w:val="24"/>
          <w:highlight w:val="none"/>
          <w:lang w:val="en-US" w:eastAsia="zh-CN" w:bidi="ar-SA"/>
        </w:rPr>
        <w:t>充电终端</w:t>
      </w:r>
      <w:r>
        <w:rPr>
          <w:rFonts w:hint="eastAsia" w:ascii="宋体" w:hAnsi="宋体" w:eastAsia="宋体" w:cs="宋体"/>
          <w:sz w:val="24"/>
          <w:szCs w:val="24"/>
          <w:highlight w:val="none"/>
        </w:rPr>
        <w:t>200~1000Vdc（恒功率输出 300~1000Vdc）</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600AMax</w:t>
      </w:r>
      <w:r>
        <w:rPr>
          <w:rFonts w:hint="eastAsia" w:ascii="宋体" w:hAnsi="宋体" w:eastAsia="宋体" w:cs="宋体"/>
          <w:sz w:val="24"/>
          <w:szCs w:val="24"/>
          <w:highlight w:val="none"/>
          <w:lang w:eastAsia="zh-CN"/>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56"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风冷双枪充电终端</w:t>
      </w:r>
      <w:r>
        <w:rPr>
          <w:rFonts w:hint="eastAsia" w:ascii="宋体" w:hAnsi="宋体" w:eastAsia="宋体" w:cs="宋体"/>
          <w:sz w:val="24"/>
          <w:szCs w:val="24"/>
          <w:highlight w:val="none"/>
        </w:rPr>
        <w:t>200~1000Vdc（恒功率输出 300~1000Vdc）</w:t>
      </w:r>
      <w:r>
        <w:rPr>
          <w:rFonts w:hint="eastAsia" w:ascii="宋体" w:hAnsi="宋体" w:eastAsia="宋体" w:cs="宋体"/>
          <w:sz w:val="24"/>
          <w:szCs w:val="24"/>
          <w:highlight w:val="none"/>
          <w:lang w:val="en-US" w:eastAsia="zh-CN"/>
        </w:rPr>
        <w:t>,单枪25</w:t>
      </w:r>
      <w:r>
        <w:rPr>
          <w:rFonts w:hint="eastAsia" w:ascii="宋体" w:hAnsi="宋体" w:eastAsia="宋体" w:cs="宋体"/>
          <w:sz w:val="24"/>
          <w:szCs w:val="24"/>
          <w:highlight w:val="none"/>
        </w:rPr>
        <w:t>0AMax</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双枪500A Max</w:t>
      </w:r>
      <w:r>
        <w:rPr>
          <w:rFonts w:hint="eastAsia" w:ascii="宋体" w:hAnsi="宋体" w:eastAsia="宋体" w:cs="宋体"/>
          <w:sz w:val="24"/>
          <w:szCs w:val="24"/>
          <w:highlight w:val="none"/>
          <w:lang w:eastAsia="zh-CN"/>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56"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（4）输出系统效率：满载效率≥94%， 最高效率≥95%；</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56"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（5）充电桩工作温度：-35℃～+50℃（无太阳辐射，40℃以上降额）；</w:t>
      </w:r>
    </w:p>
    <w:p>
      <w:pPr>
        <w:snapToGrid w:val="0"/>
        <w:spacing w:line="400" w:lineRule="exact"/>
        <w:ind w:firstLine="480" w:firstLineChars="200"/>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sz w:val="24"/>
          <w:szCs w:val="24"/>
          <w:highlight w:val="none"/>
          <w:lang w:val="en-US" w:eastAsia="zh-CN"/>
        </w:rPr>
        <w:t>（6）充电桩噪声控制：标准模式：噪声≤60dBA@1m, 25℃；静音模式：噪声≤55dBA@1m max。</w:t>
      </w:r>
    </w:p>
    <w:p>
      <w:pPr>
        <w:snapToGrid w:val="0"/>
        <w:spacing w:line="400" w:lineRule="exact"/>
        <w:ind w:firstLine="480" w:firstLineChars="200"/>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注：供应商提供拟使用的设备品牌、规格、数量，并加盖供应商公章。</w:t>
      </w:r>
    </w:p>
    <w:p>
      <w:pPr>
        <w:snapToGrid w:val="0"/>
        <w:spacing w:line="400" w:lineRule="exact"/>
        <w:ind w:firstLine="482" w:firstLineChars="200"/>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五、现场踏勘</w:t>
      </w:r>
    </w:p>
    <w:p>
      <w:pPr>
        <w:kinsoku/>
        <w:wordWrap/>
        <w:overflowPunct/>
        <w:topLinePunct w:val="0"/>
        <w:autoSpaceDE/>
        <w:autoSpaceDN/>
        <w:bidi w:val="0"/>
        <w:snapToGrid w:val="0"/>
        <w:spacing w:line="312" w:lineRule="auto"/>
        <w:ind w:firstLine="48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宋体" w:hAnsi="宋体" w:eastAsia="宋体" w:cs="宋体"/>
          <w:b w:val="0"/>
          <w:sz w:val="24"/>
          <w:szCs w:val="24"/>
          <w:highlight w:val="none"/>
          <w:vertAlign w:val="baseline"/>
          <w:lang w:val="en-US" w:eastAsia="zh-CN"/>
        </w:rPr>
        <w:t>本项目比选人不组织现场踏勘，由供应商自行踏勘项目现场，供应商踏勘现场发生的所有费用自理，自行负责在踏勘现场中所发生的人员伤亡和财产损失。因供应商未踏勘现场而出现的报价成本估算错误，比选人不承担一切责任，由供应商自行承担。</w:t>
      </w:r>
      <w:bookmarkEnd w:id="87"/>
      <w:bookmarkEnd w:id="88"/>
      <w:bookmarkEnd w:id="89"/>
      <w:bookmarkEnd w:id="90"/>
      <w:bookmarkStart w:id="96" w:name="_Toc22755"/>
      <w:bookmarkStart w:id="97" w:name="_Toc32034"/>
      <w:r>
        <w:rPr>
          <w:rFonts w:hint="eastAsia" w:asciiTheme="minorEastAsia" w:hAnsiTheme="minorEastAsia" w:eastAsiaTheme="minorEastAsia" w:cstheme="minorEastAsia"/>
          <w:bCs/>
          <w:color w:val="auto"/>
          <w:sz w:val="36"/>
          <w:szCs w:val="30"/>
          <w:highlight w:val="none"/>
        </w:rPr>
        <w:br w:type="page"/>
      </w:r>
    </w:p>
    <w:p>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98" w:name="_Toc9443"/>
      <w:r>
        <w:rPr>
          <w:rFonts w:hint="eastAsia" w:asciiTheme="minorEastAsia" w:hAnsiTheme="minorEastAsia" w:eastAsiaTheme="minorEastAsia" w:cstheme="minorEastAsia"/>
          <w:bCs/>
          <w:color w:val="auto"/>
          <w:sz w:val="36"/>
          <w:szCs w:val="30"/>
          <w:highlight w:val="none"/>
        </w:rPr>
        <w:t>第三篇  项目商务需求</w:t>
      </w:r>
      <w:bookmarkEnd w:id="96"/>
      <w:bookmarkEnd w:id="97"/>
      <w:bookmarkEnd w:id="98"/>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9" w:name="_Toc76462328"/>
      <w:bookmarkEnd w:id="99"/>
      <w:bookmarkStart w:id="100" w:name="_Toc106030883"/>
      <w:bookmarkEnd w:id="100"/>
      <w:bookmarkStart w:id="101" w:name="_Toc344475120"/>
      <w:bookmarkEnd w:id="101"/>
      <w:bookmarkStart w:id="102" w:name="_Toc76462332"/>
      <w:bookmarkEnd w:id="102"/>
      <w:bookmarkStart w:id="103" w:name="_Toc106030887"/>
      <w:bookmarkEnd w:id="103"/>
      <w:bookmarkStart w:id="104" w:name="_Toc9477"/>
      <w:bookmarkEnd w:id="104"/>
      <w:bookmarkStart w:id="105" w:name="_Toc28019"/>
      <w:bookmarkEnd w:id="105"/>
      <w:bookmarkStart w:id="106" w:name="_Toc3517"/>
      <w:bookmarkStart w:id="107" w:name="_Toc21310"/>
      <w:bookmarkStart w:id="108" w:name="_Toc20332"/>
      <w:bookmarkStart w:id="109" w:name="_Toc12819"/>
      <w:bookmarkStart w:id="110" w:name="_Toc11660"/>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106"/>
      <w:bookmarkEnd w:id="107"/>
      <w:bookmarkEnd w:id="108"/>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vertAlign w:val="baseline"/>
          <w:lang w:val="en-US" w:eastAsia="zh-CN"/>
        </w:rPr>
        <w:t>（装修及市场培育期不计入合同经营周期）</w:t>
      </w:r>
      <w:r>
        <w:rPr>
          <w:rFonts w:hint="eastAsia" w:ascii="宋体" w:hAnsi="宋体" w:cs="宋体"/>
          <w:color w:val="auto"/>
          <w:sz w:val="24"/>
          <w:szCs w:val="24"/>
          <w:highlight w:val="none"/>
          <w:lang w:val="en-US" w:eastAsia="zh-CN"/>
        </w:rPr>
        <w:t>，施工期原则上不超过2个月</w:t>
      </w:r>
      <w:r>
        <w:rPr>
          <w:rFonts w:hint="eastAsia" w:ascii="宋体" w:hAnsi="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sz w:val="24"/>
          <w:szCs w:val="24"/>
          <w:highlight w:val="none"/>
        </w:rPr>
        <w:t>重庆园博园主入口室外停车场</w:t>
      </w:r>
      <w:r>
        <w:rPr>
          <w:rFonts w:hint="eastAsia" w:ascii="宋体" w:hAnsi="宋体" w:eastAsia="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1.比选人根据</w:t>
      </w:r>
      <w:r>
        <w:rPr>
          <w:rFonts w:hint="eastAsia" w:ascii="宋体" w:hAnsi="宋体" w:cs="宋体"/>
          <w:b w:val="0"/>
          <w:bCs w:val="0"/>
          <w:color w:val="auto"/>
          <w:sz w:val="24"/>
          <w:szCs w:val="24"/>
          <w:highlight w:val="none"/>
          <w:lang w:val="en-US" w:eastAsia="zh-CN"/>
        </w:rPr>
        <w:t>比选</w:t>
      </w:r>
      <w:r>
        <w:rPr>
          <w:rFonts w:hint="eastAsia" w:ascii="宋体" w:hAnsi="宋体" w:eastAsia="宋体" w:cs="宋体"/>
          <w:b w:val="0"/>
          <w:bCs w:val="0"/>
          <w:color w:val="auto"/>
          <w:sz w:val="24"/>
          <w:szCs w:val="24"/>
          <w:highlight w:val="none"/>
          <w:lang w:val="en-US" w:eastAsia="zh-CN"/>
        </w:rPr>
        <w:t>文件</w:t>
      </w:r>
      <w:r>
        <w:rPr>
          <w:rFonts w:hint="eastAsia" w:ascii="宋体" w:hAnsi="宋体" w:eastAsia="宋体" w:cs="宋体"/>
          <w:color w:val="auto"/>
          <w:sz w:val="24"/>
          <w:szCs w:val="24"/>
          <w:highlight w:val="none"/>
          <w:lang w:val="en-US" w:eastAsia="zh-CN"/>
        </w:rPr>
        <w:t>和国家、地方相关标准、规范</w:t>
      </w:r>
      <w:r>
        <w:rPr>
          <w:rFonts w:hint="eastAsia" w:ascii="宋体" w:hAnsi="宋体" w:eastAsia="宋体" w:cs="宋体"/>
          <w:color w:val="auto"/>
          <w:sz w:val="24"/>
          <w:szCs w:val="24"/>
          <w:highlight w:val="none"/>
        </w:rPr>
        <w:t>要求进行验收</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必要时邀请电力部门或第三方检测机构参与验收，验收产生的相关费用由成交供应商承担。</w:t>
      </w:r>
      <w:r>
        <w:rPr>
          <w:rFonts w:hint="eastAsia" w:ascii="宋体" w:hAnsi="宋体" w:eastAsia="宋体" w:cs="宋体"/>
          <w:color w:val="auto"/>
          <w:sz w:val="24"/>
          <w:szCs w:val="24"/>
          <w:highlight w:val="none"/>
        </w:rPr>
        <w:t>验收不合格的，必须按标准整改，所需费用由成交供应商自行承担</w:t>
      </w:r>
      <w:r>
        <w:rPr>
          <w:rFonts w:hint="eastAsia" w:ascii="宋体" w:hAnsi="宋体" w:eastAsia="宋体" w:cs="宋体"/>
          <w:color w:val="auto"/>
          <w:sz w:val="24"/>
          <w:szCs w:val="24"/>
          <w:highlight w:val="none"/>
          <w:lang w:val="en-US" w:eastAsia="zh-CN"/>
        </w:rPr>
        <w:t>。</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充电桩</w:t>
      </w:r>
      <w:r>
        <w:rPr>
          <w:rFonts w:hint="eastAsia" w:ascii="宋体" w:hAnsi="宋体" w:eastAsia="宋体" w:cs="宋体"/>
          <w:color w:val="auto"/>
          <w:sz w:val="24"/>
          <w:szCs w:val="24"/>
          <w:highlight w:val="none"/>
        </w:rPr>
        <w:t>质量不合格或延误</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造成的一切损失由成交供应商自行承担。</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11" w:name="_Toc344475121"/>
      <w:bookmarkStart w:id="112" w:name="_Toc971"/>
      <w:bookmarkStart w:id="113" w:name="_Toc24094"/>
      <w:bookmarkStart w:id="114" w:name="_Toc32341"/>
      <w:bookmarkStart w:id="115" w:name="_Toc22939"/>
      <w:r>
        <w:rPr>
          <w:rFonts w:hint="eastAsia" w:asciiTheme="minorEastAsia" w:hAnsiTheme="minorEastAsia" w:eastAsiaTheme="minorEastAsia" w:cstheme="minorEastAsia"/>
          <w:color w:val="auto"/>
          <w:sz w:val="24"/>
          <w:highlight w:val="none"/>
          <w:lang w:val="en-US" w:eastAsia="zh-CN"/>
        </w:rPr>
        <w:t>二、</w:t>
      </w:r>
      <w:bookmarkEnd w:id="111"/>
      <w:r>
        <w:rPr>
          <w:rFonts w:hint="eastAsia" w:asciiTheme="minorEastAsia" w:hAnsiTheme="minorEastAsia" w:eastAsiaTheme="minorEastAsia" w:cstheme="minorEastAsia"/>
          <w:color w:val="auto"/>
          <w:sz w:val="24"/>
          <w:highlight w:val="none"/>
          <w:lang w:val="en-US" w:eastAsia="zh-CN"/>
        </w:rPr>
        <w:t>报价要求</w:t>
      </w:r>
      <w:bookmarkEnd w:id="112"/>
      <w:bookmarkEnd w:id="113"/>
      <w:bookmarkEnd w:id="114"/>
      <w:bookmarkEnd w:id="115"/>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报价</w:t>
      </w:r>
      <w:r>
        <w:rPr>
          <w:rFonts w:hint="eastAsia" w:ascii="宋体" w:hAnsi="宋体" w:eastAsia="宋体" w:cs="宋体"/>
          <w:kern w:val="0"/>
          <w:sz w:val="24"/>
          <w:szCs w:val="24"/>
          <w:highlight w:val="none"/>
        </w:rPr>
        <w:t>须为人民币报价</w:t>
      </w:r>
      <w:r>
        <w:rPr>
          <w:rFonts w:hint="eastAsia" w:ascii="宋体" w:hAnsi="宋体" w:eastAsia="宋体" w:cs="宋体"/>
          <w:sz w:val="24"/>
          <w:szCs w:val="24"/>
          <w:highlight w:val="none"/>
        </w:rPr>
        <w:t>，</w:t>
      </w:r>
      <w:r>
        <w:rPr>
          <w:rFonts w:hint="eastAsia" w:ascii="宋体" w:hAnsi="宋体" w:cs="宋体"/>
          <w:color w:val="auto"/>
          <w:sz w:val="24"/>
          <w:szCs w:val="24"/>
          <w:highlight w:val="none"/>
        </w:rPr>
        <w:t>供应商报价包括但不限于：完成本项目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w:t>
      </w:r>
      <w:r>
        <w:rPr>
          <w:rFonts w:hint="eastAsia" w:ascii="宋体" w:hAnsi="宋体" w:cs="宋体"/>
          <w:color w:val="auto"/>
          <w:sz w:val="24"/>
          <w:szCs w:val="24"/>
          <w:highlight w:val="none"/>
        </w:rPr>
        <w:t>以及税费等服务期间的所有费用。因成交供应商自身原因造成漏报、少报皆由其自行承担责任，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不再补偿。</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6" w:name="_Toc17234"/>
      <w:bookmarkStart w:id="117" w:name="_Toc344475122"/>
      <w:bookmarkStart w:id="118" w:name="_Toc9058"/>
      <w:bookmarkStart w:id="119" w:name="_Toc26864"/>
      <w:bookmarkStart w:id="120" w:name="_Toc30022"/>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16"/>
      <w:bookmarkEnd w:id="117"/>
      <w:bookmarkEnd w:id="118"/>
      <w:bookmarkEnd w:id="119"/>
      <w:bookmarkEnd w:id="120"/>
      <w:r>
        <w:rPr>
          <w:rFonts w:hint="eastAsia" w:ascii="宋体" w:hAnsi="宋体" w:eastAsia="宋体" w:cs="宋体"/>
          <w:b/>
          <w:bCs/>
          <w:color w:val="auto"/>
          <w:sz w:val="24"/>
          <w:szCs w:val="24"/>
          <w:highlight w:val="none"/>
          <w:lang w:val="en-US" w:eastAsia="zh-CN"/>
        </w:rPr>
        <w:t>履约保证金和</w:t>
      </w:r>
      <w:r>
        <w:rPr>
          <w:rFonts w:hint="eastAsia" w:ascii="宋体" w:hAnsi="宋体" w:eastAsia="宋体" w:cs="宋体"/>
          <w:b/>
          <w:bCs/>
          <w:color w:val="auto"/>
          <w:sz w:val="24"/>
          <w:szCs w:val="24"/>
          <w:highlight w:val="none"/>
        </w:rPr>
        <w:t>付款方式</w:t>
      </w:r>
    </w:p>
    <w:p>
      <w:pPr>
        <w:snapToGrid w:val="0"/>
        <w:spacing w:line="400" w:lineRule="exact"/>
        <w:ind w:firstLine="480" w:firstLineChars="200"/>
        <w:rPr>
          <w:rFonts w:hint="eastAsia" w:ascii="宋体" w:hAnsi="宋体" w:eastAsia="宋体" w:cs="宋体"/>
          <w:kern w:val="0"/>
          <w:sz w:val="24"/>
          <w:szCs w:val="24"/>
          <w:highlight w:val="none"/>
        </w:rPr>
      </w:pPr>
      <w:bookmarkStart w:id="121" w:name="_Toc71903469"/>
      <w:bookmarkStart w:id="122" w:name="_Toc13073"/>
      <w:bookmarkStart w:id="123" w:name="_Toc525316574"/>
      <w:bookmarkStart w:id="124" w:name="_Toc89351104"/>
      <w:bookmarkStart w:id="125" w:name="_Toc69312327"/>
      <w:bookmarkStart w:id="126" w:name="_Toc27478"/>
      <w:bookmarkStart w:id="127" w:name="_Toc20486"/>
      <w:bookmarkStart w:id="128" w:name="_Toc344475123"/>
      <w:r>
        <w:rPr>
          <w:rFonts w:hint="eastAsia" w:ascii="宋体" w:hAnsi="宋体" w:eastAsia="宋体" w:cs="宋体"/>
          <w:kern w:val="0"/>
          <w:sz w:val="24"/>
          <w:szCs w:val="24"/>
          <w:highlight w:val="none"/>
        </w:rPr>
        <w:t>（一）合同签订前，</w:t>
      </w:r>
      <w:r>
        <w:rPr>
          <w:rFonts w:hint="eastAsia" w:ascii="宋体" w:hAnsi="宋体" w:eastAsia="宋体" w:cs="宋体"/>
          <w:kern w:val="0"/>
          <w:sz w:val="24"/>
          <w:szCs w:val="24"/>
          <w:highlight w:val="none"/>
          <w:lang w:val="en-US" w:eastAsia="zh-CN"/>
        </w:rPr>
        <w:t>成交供应商</w:t>
      </w:r>
      <w:r>
        <w:rPr>
          <w:rFonts w:hint="eastAsia" w:ascii="宋体" w:hAnsi="宋体" w:eastAsia="宋体" w:cs="宋体"/>
          <w:kern w:val="0"/>
          <w:sz w:val="24"/>
          <w:szCs w:val="24"/>
          <w:highlight w:val="none"/>
        </w:rPr>
        <w:t>向</w:t>
      </w:r>
      <w:r>
        <w:rPr>
          <w:rFonts w:hint="eastAsia" w:ascii="宋体" w:hAnsi="宋体" w:eastAsia="宋体" w:cs="宋体"/>
          <w:kern w:val="0"/>
          <w:sz w:val="24"/>
          <w:szCs w:val="24"/>
          <w:highlight w:val="none"/>
          <w:lang w:eastAsia="zh-CN"/>
        </w:rPr>
        <w:t>比选人</w:t>
      </w:r>
      <w:r>
        <w:rPr>
          <w:rFonts w:hint="eastAsia" w:ascii="宋体" w:hAnsi="宋体" w:eastAsia="宋体" w:cs="宋体"/>
          <w:kern w:val="0"/>
          <w:sz w:val="24"/>
          <w:szCs w:val="24"/>
          <w:highlight w:val="none"/>
        </w:rPr>
        <w:t>缴纳</w:t>
      </w:r>
      <w:r>
        <w:rPr>
          <w:rFonts w:hint="eastAsia" w:ascii="宋体" w:hAnsi="宋体" w:eastAsia="宋体" w:cs="宋体"/>
          <w:kern w:val="0"/>
          <w:sz w:val="24"/>
          <w:szCs w:val="24"/>
          <w:highlight w:val="none"/>
          <w:lang w:val="en-US" w:eastAsia="zh-CN"/>
        </w:rPr>
        <w:t>1万元</w:t>
      </w:r>
      <w:r>
        <w:rPr>
          <w:rFonts w:hint="eastAsia" w:ascii="宋体" w:hAnsi="宋体" w:eastAsia="宋体" w:cs="宋体"/>
          <w:kern w:val="0"/>
          <w:sz w:val="24"/>
          <w:szCs w:val="24"/>
          <w:highlight w:val="none"/>
        </w:rPr>
        <w:t>履约保证金（以支票、汇票、本票或者金融机构、担保机构出具的保函等非现金形式提交。）；</w:t>
      </w:r>
    </w:p>
    <w:p>
      <w:pPr>
        <w:snapToGri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（二）租金按年提前向比选人缴纳。</w:t>
      </w:r>
    </w:p>
    <w:p>
      <w:pPr>
        <w:pStyle w:val="4"/>
        <w:adjustRightInd w:val="0"/>
        <w:snapToGrid w:val="0"/>
        <w:spacing w:before="0" w:after="0" w:line="400" w:lineRule="exact"/>
        <w:ind w:left="476" w:leftChars="170" w:firstLine="0" w:firstLineChars="0"/>
        <w:rPr>
          <w:rFonts w:hint="eastAsia" w:asciiTheme="minorEastAsia" w:hAnsiTheme="minorEastAsia" w:eastAsiaTheme="minorEastAsia" w:cstheme="minorEastAsia"/>
          <w:color w:val="auto"/>
          <w:sz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w:t>
      </w:r>
      <w:r>
        <w:rPr>
          <w:rFonts w:hint="eastAsia" w:ascii="宋体" w:hAnsi="宋体" w:eastAsia="宋体" w:cs="宋体"/>
          <w:b w:val="0"/>
          <w:bCs/>
          <w:kern w:val="0"/>
          <w:sz w:val="24"/>
          <w:szCs w:val="24"/>
          <w:highlight w:val="none"/>
        </w:rPr>
        <w:t>履约保证金无息退还时间：</w:t>
      </w:r>
      <w:r>
        <w:rPr>
          <w:rFonts w:hint="eastAsia" w:ascii="宋体" w:hAnsi="宋体" w:eastAsia="宋体" w:cs="宋体"/>
          <w:b w:val="0"/>
          <w:bCs/>
          <w:kern w:val="0"/>
          <w:sz w:val="24"/>
          <w:szCs w:val="24"/>
          <w:highlight w:val="none"/>
          <w:lang w:val="en-US" w:eastAsia="zh-CN"/>
        </w:rPr>
        <w:t>合同到期后30天内，</w:t>
      </w:r>
      <w:r>
        <w:rPr>
          <w:rFonts w:hint="eastAsia" w:ascii="宋体" w:hAnsi="宋体" w:eastAsia="宋体" w:cs="宋体"/>
          <w:b w:val="0"/>
          <w:bCs/>
          <w:kern w:val="0"/>
          <w:sz w:val="24"/>
          <w:szCs w:val="24"/>
          <w:highlight w:val="none"/>
          <w:lang w:eastAsia="zh-CN"/>
        </w:rPr>
        <w:t>比选人</w:t>
      </w:r>
      <w:r>
        <w:rPr>
          <w:rFonts w:hint="eastAsia" w:ascii="宋体" w:hAnsi="宋体" w:eastAsia="宋体" w:cs="宋体"/>
          <w:b w:val="0"/>
          <w:bCs/>
          <w:kern w:val="0"/>
          <w:sz w:val="24"/>
          <w:szCs w:val="24"/>
          <w:highlight w:val="none"/>
        </w:rPr>
        <w:t>无息退还履约保证金。</w:t>
      </w:r>
      <w:bookmarkEnd w:id="121"/>
      <w:bookmarkEnd w:id="122"/>
      <w:bookmarkEnd w:id="123"/>
      <w:bookmarkEnd w:id="124"/>
      <w:bookmarkEnd w:id="125"/>
      <w:bookmarkStart w:id="129" w:name="_Toc21834"/>
      <w:bookmarkStart w:id="130" w:name="_Toc24945"/>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、知识产权</w:t>
      </w:r>
      <w:bookmarkEnd w:id="126"/>
      <w:bookmarkEnd w:id="127"/>
      <w:bookmarkEnd w:id="128"/>
      <w:bookmarkEnd w:id="129"/>
      <w:bookmarkEnd w:id="130"/>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1" w:name="_Toc344475124"/>
      <w:bookmarkStart w:id="132" w:name="_Toc12318"/>
      <w:bookmarkStart w:id="133" w:name="_Toc31870"/>
      <w:bookmarkStart w:id="134" w:name="_Toc28696"/>
      <w:bookmarkStart w:id="135" w:name="_Toc6820"/>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31"/>
      <w:bookmarkStart w:id="136" w:name="_Toc344475125"/>
      <w:r>
        <w:rPr>
          <w:rFonts w:hint="eastAsia" w:asciiTheme="minorEastAsia" w:hAnsiTheme="minorEastAsia" w:eastAsiaTheme="minorEastAsia" w:cstheme="minorEastAsia"/>
          <w:color w:val="auto"/>
          <w:sz w:val="24"/>
          <w:highlight w:val="none"/>
        </w:rPr>
        <w:t>其他</w:t>
      </w:r>
      <w:bookmarkEnd w:id="132"/>
      <w:bookmarkEnd w:id="133"/>
      <w:bookmarkEnd w:id="134"/>
      <w:bookmarkEnd w:id="135"/>
    </w:p>
    <w:bookmarkEnd w:id="136"/>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37"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109"/>
      <w:bookmarkEnd w:id="110"/>
      <w:bookmarkEnd w:id="137"/>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8" w:name="_Toc19981"/>
      <w:bookmarkEnd w:id="138"/>
      <w:bookmarkStart w:id="139" w:name="_Toc76462333"/>
      <w:bookmarkEnd w:id="139"/>
      <w:bookmarkStart w:id="140" w:name="_Toc106030888"/>
      <w:bookmarkEnd w:id="140"/>
      <w:bookmarkStart w:id="141" w:name="_Toc6512"/>
      <w:bookmarkStart w:id="142" w:name="_Toc28291"/>
      <w:bookmarkStart w:id="143" w:name="_Toc31047"/>
      <w:r>
        <w:rPr>
          <w:rFonts w:hint="eastAsia" w:asciiTheme="minorEastAsia" w:hAnsiTheme="minorEastAsia" w:eastAsiaTheme="minorEastAsia" w:cstheme="minorEastAsia"/>
          <w:color w:val="auto"/>
          <w:sz w:val="24"/>
          <w:highlight w:val="none"/>
        </w:rPr>
        <w:t>一、比选程序及方法</w:t>
      </w:r>
      <w:bookmarkEnd w:id="141"/>
      <w:bookmarkEnd w:id="142"/>
      <w:bookmarkEnd w:id="143"/>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保证金</w:t>
            </w:r>
          </w:p>
        </w:tc>
        <w:tc>
          <w:tcPr>
            <w:tcW w:w="4984" w:type="dxa"/>
            <w:vAlign w:val="center"/>
          </w:tcPr>
          <w:p>
            <w:pP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按照</w:t>
            </w:r>
            <w:r>
              <w:rPr>
                <w:rFonts w:hint="eastAsia" w:ascii="宋体" w:hAnsi="宋体" w:cs="宋体"/>
                <w:sz w:val="21"/>
                <w:szCs w:val="21"/>
                <w:highlight w:val="none"/>
                <w:lang w:val="en-US" w:eastAsia="zh-CN"/>
              </w:rPr>
              <w:t>比选</w:t>
            </w:r>
            <w:r>
              <w:rPr>
                <w:rFonts w:hint="eastAsia" w:ascii="宋体" w:hAnsi="宋体" w:cs="宋体"/>
                <w:sz w:val="21"/>
                <w:szCs w:val="21"/>
                <w:highlight w:val="none"/>
              </w:rPr>
              <w:t>文件要求足额交纳所投</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的</w:t>
            </w:r>
            <w:r>
              <w:rPr>
                <w:rFonts w:hint="eastAsia" w:ascii="宋体" w:hAnsi="宋体" w:cs="宋体"/>
                <w:sz w:val="21"/>
                <w:szCs w:val="21"/>
                <w:highlight w:val="none"/>
                <w:lang w:val="en-US" w:eastAsia="zh-CN"/>
              </w:rPr>
              <w:t>比选</w:t>
            </w:r>
            <w:r>
              <w:rPr>
                <w:rFonts w:hint="eastAsia" w:ascii="宋体" w:hAnsi="宋体" w:cs="宋体"/>
                <w:sz w:val="21"/>
                <w:szCs w:val="21"/>
                <w:highlight w:val="none"/>
              </w:rPr>
              <w:t>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highlight w:val="none"/>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highlight w:val="none"/>
              </w:rPr>
              <w:t>全部内容作出响应</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48"/>
        <w:gridCol w:w="912"/>
        <w:gridCol w:w="524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napToGrid w:val="0"/>
              <w:spacing w:line="360" w:lineRule="auto"/>
              <w:jc w:val="center"/>
              <w:rPr>
                <w:rFonts w:hint="eastAsia" w:ascii="宋体" w:hAnsi="宋体" w:cs="宋体"/>
                <w:b/>
                <w:bCs/>
                <w:color w:val="auto"/>
                <w:sz w:val="21"/>
                <w:szCs w:val="21"/>
                <w:highlight w:val="none"/>
              </w:rPr>
            </w:pPr>
            <w:bookmarkStart w:id="144" w:name="_Toc28217"/>
            <w:bookmarkStart w:id="145" w:name="_Toc12733"/>
            <w:bookmarkStart w:id="146" w:name="_Toc27370"/>
            <w:bookmarkStart w:id="147" w:name="_Toc15678"/>
            <w:r>
              <w:rPr>
                <w:rFonts w:hint="eastAsia" w:ascii="宋体" w:hAnsi="宋体" w:cs="宋体"/>
                <w:b/>
                <w:bCs/>
                <w:color w:val="auto"/>
                <w:sz w:val="21"/>
                <w:szCs w:val="21"/>
                <w:highlight w:val="none"/>
              </w:rPr>
              <w:t>序号</w:t>
            </w:r>
          </w:p>
        </w:tc>
        <w:tc>
          <w:tcPr>
            <w:tcW w:w="1248"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评分因素及权重</w:t>
            </w:r>
          </w:p>
        </w:tc>
        <w:tc>
          <w:tcPr>
            <w:tcW w:w="912"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5245"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871" w:type="dxa"/>
            <w:vAlign w:val="center"/>
          </w:tcPr>
          <w:p>
            <w:pP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Align w:val="center"/>
          </w:tcPr>
          <w:p>
            <w:pPr>
              <w:spacing w:line="36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48" w:type="dxa"/>
            <w:vAlign w:val="center"/>
          </w:tcPr>
          <w:p>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报价（</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w:t>
            </w:r>
          </w:p>
          <w:p>
            <w:pPr>
              <w:spacing w:line="240" w:lineRule="atLeast"/>
              <w:rPr>
                <w:rFonts w:hint="eastAsia" w:ascii="宋体" w:hAnsi="宋体" w:eastAsia="宋体" w:cs="宋体"/>
                <w:color w:val="auto"/>
                <w:sz w:val="21"/>
                <w:szCs w:val="21"/>
                <w:highlight w:val="none"/>
              </w:rPr>
            </w:pPr>
          </w:p>
        </w:tc>
        <w:tc>
          <w:tcPr>
            <w:tcW w:w="912" w:type="dxa"/>
            <w:vAlign w:val="center"/>
          </w:tcPr>
          <w:p>
            <w:pPr>
              <w:numPr>
                <w:ilvl w:val="0"/>
                <w:numId w:val="0"/>
              </w:num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租金（50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5245" w:type="dxa"/>
            <w:vAlign w:val="center"/>
          </w:tcPr>
          <w:p>
            <w:pPr>
              <w:numPr>
                <w:ilvl w:val="0"/>
                <w:numId w:val="0"/>
              </w:numPr>
              <w:rPr>
                <w:rFonts w:hint="eastAsia" w:ascii="宋体"/>
                <w:color w:val="auto"/>
                <w:sz w:val="21"/>
                <w:szCs w:val="21"/>
                <w:highlight w:val="none"/>
              </w:rPr>
            </w:pPr>
            <w:r>
              <w:rPr>
                <w:rFonts w:hint="eastAsia" w:ascii="宋体"/>
                <w:color w:val="auto"/>
                <w:sz w:val="21"/>
                <w:szCs w:val="21"/>
                <w:highlight w:val="none"/>
              </w:rPr>
              <w:t>有效的</w:t>
            </w:r>
            <w:r>
              <w:rPr>
                <w:rFonts w:hint="eastAsia" w:ascii="宋体"/>
                <w:color w:val="auto"/>
                <w:sz w:val="21"/>
                <w:szCs w:val="21"/>
                <w:highlight w:val="none"/>
                <w:lang w:val="en-US" w:eastAsia="zh-CN"/>
              </w:rPr>
              <w:t>比选</w:t>
            </w:r>
            <w:r>
              <w:rPr>
                <w:rFonts w:hint="eastAsia" w:ascii="宋体"/>
                <w:color w:val="auto"/>
                <w:sz w:val="21"/>
                <w:szCs w:val="21"/>
                <w:highlight w:val="none"/>
              </w:rPr>
              <w:t>报价中的最</w:t>
            </w:r>
            <w:r>
              <w:rPr>
                <w:rFonts w:hint="eastAsia" w:ascii="宋体"/>
                <w:color w:val="auto"/>
                <w:sz w:val="21"/>
                <w:szCs w:val="21"/>
                <w:highlight w:val="none"/>
                <w:lang w:val="en-US" w:eastAsia="zh-CN"/>
              </w:rPr>
              <w:t>高</w:t>
            </w:r>
            <w:r>
              <w:rPr>
                <w:rFonts w:hint="eastAsia" w:ascii="宋体"/>
                <w:color w:val="auto"/>
                <w:sz w:val="21"/>
                <w:szCs w:val="21"/>
                <w:highlight w:val="none"/>
              </w:rPr>
              <w:t>价为评标基准价，其价格分为满分。其他</w:t>
            </w:r>
            <w:r>
              <w:rPr>
                <w:rFonts w:hint="eastAsia" w:ascii="宋体"/>
                <w:color w:val="auto"/>
                <w:sz w:val="21"/>
                <w:szCs w:val="21"/>
                <w:highlight w:val="none"/>
                <w:lang w:val="en-US" w:eastAsia="zh-CN"/>
              </w:rPr>
              <w:t>供应商</w:t>
            </w:r>
            <w:r>
              <w:rPr>
                <w:rFonts w:hint="eastAsia" w:ascii="宋体"/>
                <w:color w:val="auto"/>
                <w:sz w:val="21"/>
                <w:szCs w:val="21"/>
                <w:highlight w:val="none"/>
              </w:rPr>
              <w:t>的价格分统一按照下列公式计算：</w:t>
            </w:r>
          </w:p>
          <w:p>
            <w:pPr>
              <w:spacing w:line="240" w:lineRule="atLeast"/>
              <w:rPr>
                <w:rFonts w:hint="eastAsia" w:ascii="宋体" w:hAnsi="宋体" w:eastAsia="宋体" w:cs="宋体"/>
                <w:color w:val="auto"/>
                <w:sz w:val="21"/>
                <w:szCs w:val="21"/>
                <w:highlight w:val="none"/>
              </w:rPr>
            </w:pPr>
            <w:r>
              <w:rPr>
                <w:rFonts w:hint="eastAsia" w:ascii="宋体"/>
                <w:color w:val="auto"/>
                <w:sz w:val="21"/>
                <w:szCs w:val="21"/>
                <w:highlight w:val="none"/>
                <w:lang w:val="en-US" w:eastAsia="zh-CN"/>
              </w:rPr>
              <w:t>比选</w:t>
            </w:r>
            <w:r>
              <w:rPr>
                <w:rFonts w:hint="eastAsia" w:ascii="宋体"/>
                <w:color w:val="auto"/>
                <w:sz w:val="21"/>
                <w:szCs w:val="21"/>
                <w:highlight w:val="none"/>
              </w:rPr>
              <w:t>报价得分＝（</w:t>
            </w:r>
            <w:r>
              <w:rPr>
                <w:rFonts w:hint="eastAsia" w:ascii="宋体"/>
                <w:color w:val="auto"/>
                <w:sz w:val="21"/>
                <w:szCs w:val="21"/>
                <w:highlight w:val="none"/>
                <w:lang w:val="en-US" w:eastAsia="zh-CN"/>
              </w:rPr>
              <w:t>比选</w:t>
            </w:r>
            <w:r>
              <w:rPr>
                <w:rFonts w:hint="eastAsia" w:ascii="宋体"/>
                <w:color w:val="auto"/>
                <w:sz w:val="21"/>
                <w:szCs w:val="21"/>
                <w:highlight w:val="none"/>
              </w:rPr>
              <w:t>报价/评标基准价）×价格权重×100。</w:t>
            </w:r>
          </w:p>
        </w:tc>
        <w:tc>
          <w:tcPr>
            <w:tcW w:w="1871" w:type="dxa"/>
            <w:vAlign w:val="center"/>
          </w:tcPr>
          <w:p>
            <w:pPr>
              <w:spacing w:line="360" w:lineRule="auto"/>
              <w:rPr>
                <w:rFonts w:hint="default" w:ascii="宋体" w:hAnsi="宋体" w:cs="宋体"/>
                <w:color w:val="auto"/>
                <w:sz w:val="21"/>
                <w:szCs w:val="21"/>
                <w:highlight w:val="none"/>
                <w:lang w:val="en-US"/>
              </w:rPr>
            </w:pPr>
            <w:r>
              <w:rPr>
                <w:rFonts w:hint="eastAsia" w:ascii="宋体" w:cs="Times New Roman"/>
                <w:color w:val="auto"/>
                <w:sz w:val="21"/>
                <w:szCs w:val="21"/>
                <w:highlight w:val="none"/>
                <w:u w:val="none"/>
                <w:lang w:val="en-US" w:eastAsia="zh-CN"/>
              </w:rPr>
              <w:t>租金不低于</w:t>
            </w:r>
            <w:r>
              <w:rPr>
                <w:rFonts w:hint="eastAsia" w:ascii="宋体" w:hAnsi="宋体" w:eastAsia="宋体" w:cs="宋体"/>
                <w:sz w:val="21"/>
                <w:szCs w:val="21"/>
                <w:highlight w:val="none"/>
                <w:lang w:val="en-US" w:eastAsia="zh-CN"/>
              </w:rPr>
              <w:t>4.5万元/年</w:t>
            </w:r>
            <w:r>
              <w:rPr>
                <w:rFonts w:hint="eastAsia" w:ascii="宋体" w:hAnsi="宋体" w:eastAsia="宋体" w:cs="宋体"/>
                <w:color w:val="auto"/>
                <w:sz w:val="21"/>
                <w:szCs w:val="21"/>
                <w:highlight w:val="none"/>
                <w:lang w:val="en-US" w:eastAsia="zh-CN"/>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restart"/>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48" w:type="dxa"/>
            <w:vMerge w:val="restart"/>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w:t>
            </w: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建设方案（15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40" w:lineRule="atLeas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布局设计；</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施工中的技术和专业程度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建设周期的安排计划；④设施设备质量保证措施；⑤充电桩数量规划；⑥电力配套规划（如变压器容量、电缆铺设、配电箱位置）。</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pacing w:line="24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restart"/>
            <w:vAlign w:val="center"/>
          </w:tcPr>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提供方案，格式自拟。</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注：本项内容中所称的“瑕疵”指以下内容：</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①内容未包含全部项目需求，存在漏项，完整性不足；</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②存在项目名称错误、地点区域错误；</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③方案内容过于简略，仅有框架或标题；</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④方案内容与本项目包含内容无关；</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⑤内容逻辑漏洞或原理错误；</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⑥方案中内容前后不一致、前后逻辑错误、涉及的规范及标准错误。</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运营及维护方案（15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运营及维护方案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拟投入资金；</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管理架构；</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团队配置及名单；④管理制度；⑤定价策略；⑥服务水平控制目标及措施；⑦智能化管理（如支持APP/小程序预约、扫码支付、远程监控、故障报警）；⑧设施设备维护措施。</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783"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安全及应急预案（10分）</w:t>
            </w:r>
          </w:p>
          <w:p>
            <w:pPr>
              <w:spacing w:line="360" w:lineRule="auto"/>
              <w:jc w:val="center"/>
              <w:rPr>
                <w:rFonts w:hint="eastAsia" w:ascii="宋体" w:hAnsi="宋体" w:cs="宋体"/>
                <w:color w:val="auto"/>
                <w:sz w:val="21"/>
                <w:szCs w:val="21"/>
                <w:highlight w:val="none"/>
              </w:rPr>
            </w:pPr>
          </w:p>
        </w:tc>
        <w:tc>
          <w:tcPr>
            <w:tcW w:w="5245" w:type="dxa"/>
            <w:vAlign w:val="center"/>
          </w:tcPr>
          <w:p>
            <w:pPr>
              <w:snapToGrid w:val="0"/>
              <w:spacing w:line="240"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安全方案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设施设备及材料安全；</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安全管理制度及安全措施方案；</w:t>
            </w:r>
            <w:r>
              <w:rPr>
                <w:rFonts w:hint="eastAsia" w:ascii="宋体" w:hAnsi="宋体" w:cs="宋体"/>
                <w:color w:val="auto"/>
                <w:sz w:val="21"/>
                <w:szCs w:val="21"/>
                <w:highlight w:val="none"/>
              </w:rPr>
              <w:t>①停电突发情况</w:t>
            </w:r>
            <w:r>
              <w:rPr>
                <w:rFonts w:hint="eastAsia" w:ascii="宋体" w:hAnsi="宋体" w:cs="宋体"/>
                <w:color w:val="auto"/>
                <w:sz w:val="21"/>
                <w:szCs w:val="21"/>
                <w:highlight w:val="none"/>
                <w:lang w:val="en-US" w:eastAsia="zh-CN"/>
              </w:rPr>
              <w:t>应急措施；</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设施设备故障应急措施。</w:t>
            </w:r>
          </w:p>
          <w:p>
            <w:pPr>
              <w:snapToGrid w:val="0"/>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napToGrid w:val="0"/>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napToGrid w:val="0"/>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napToGrid w:val="0"/>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napToGrid w:val="0"/>
              <w:spacing w:line="240"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248" w:type="dxa"/>
            <w:vAlign w:val="center"/>
          </w:tcPr>
          <w:p>
            <w:pPr>
              <w:spacing w:line="240" w:lineRule="atLeast"/>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0%）</w:t>
            </w:r>
          </w:p>
        </w:tc>
        <w:tc>
          <w:tcPr>
            <w:tcW w:w="912" w:type="dxa"/>
            <w:vAlign w:val="center"/>
          </w:tcPr>
          <w:p>
            <w:pPr>
              <w:spacing w:line="240" w:lineRule="atLeast"/>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业绩</w:t>
            </w:r>
          </w:p>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zh-CN"/>
              </w:rPr>
              <w:t>）</w:t>
            </w:r>
          </w:p>
        </w:tc>
        <w:tc>
          <w:tcPr>
            <w:tcW w:w="5245" w:type="dxa"/>
            <w:vAlign w:val="center"/>
          </w:tcPr>
          <w:p>
            <w:pPr>
              <w:spacing w:line="276"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供应商在2019年1月1日至响应截止时间（以合同签订时间为准），承担过充电桩运营的，每提供1个得5分。最多10分。</w:t>
            </w:r>
          </w:p>
        </w:tc>
        <w:tc>
          <w:tcPr>
            <w:tcW w:w="1871" w:type="dxa"/>
            <w:vAlign w:val="center"/>
          </w:tcPr>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业绩须提供合同复印件加盖供应商公章。</w:t>
            </w:r>
          </w:p>
        </w:tc>
      </w:tr>
      <w:bookmarkEnd w:id="144"/>
      <w:bookmarkEnd w:id="145"/>
      <w:bookmarkEnd w:id="146"/>
      <w:bookmarkEnd w:id="147"/>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8" w:name="_Toc106030890"/>
      <w:bookmarkEnd w:id="148"/>
      <w:bookmarkStart w:id="149" w:name="_Toc106030889"/>
      <w:bookmarkEnd w:id="149"/>
      <w:bookmarkStart w:id="150" w:name="_Toc24604"/>
      <w:bookmarkEnd w:id="150"/>
      <w:bookmarkStart w:id="151" w:name="_Toc8811"/>
      <w:bookmarkEnd w:id="151"/>
      <w:bookmarkStart w:id="152" w:name="_Toc76462334"/>
      <w:bookmarkEnd w:id="152"/>
      <w:bookmarkStart w:id="153" w:name="_Toc76462335"/>
      <w:bookmarkEnd w:id="153"/>
      <w:bookmarkStart w:id="154" w:name="_Toc20661"/>
      <w:bookmarkStart w:id="155" w:name="_Toc12242"/>
      <w:bookmarkStart w:id="156" w:name="_Toc8592"/>
      <w:bookmarkStart w:id="157" w:name="_Toc102227320"/>
      <w:bookmarkStart w:id="158" w:name="_Toc342913394"/>
      <w:r>
        <w:rPr>
          <w:rFonts w:hint="eastAsia" w:asciiTheme="minorEastAsia" w:hAnsiTheme="minorEastAsia" w:eastAsiaTheme="minorEastAsia" w:cstheme="minorEastAsia"/>
          <w:color w:val="auto"/>
          <w:sz w:val="24"/>
          <w:highlight w:val="none"/>
        </w:rPr>
        <w:t>三、无效响应</w:t>
      </w:r>
      <w:bookmarkEnd w:id="154"/>
      <w:bookmarkEnd w:id="155"/>
      <w:bookmarkEnd w:id="156"/>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（四）供应商的比选报价</w:t>
      </w:r>
      <w:r>
        <w:rPr>
          <w:rFonts w:hint="eastAsia" w:asciiTheme="minorEastAsia" w:hAnsiTheme="minorEastAsia" w:eastAsiaTheme="minorEastAsia" w:cstheme="minorEastAsia"/>
          <w:color w:val="auto"/>
          <w:sz w:val="24"/>
          <w:szCs w:val="24"/>
          <w:highlight w:val="none"/>
          <w:lang w:val="en-US" w:eastAsia="zh-CN"/>
        </w:rPr>
        <w:t>低于</w:t>
      </w:r>
      <w:r>
        <w:rPr>
          <w:rFonts w:hint="eastAsia" w:asciiTheme="minorEastAsia" w:hAnsiTheme="minorEastAsia" w:eastAsiaTheme="minorEastAsia" w:cstheme="minorEastAsia"/>
          <w:color w:val="auto"/>
          <w:sz w:val="24"/>
          <w:szCs w:val="24"/>
          <w:highlight w:val="none"/>
        </w:rPr>
        <w:t>采购预算或最</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限价的；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pPr>
        <w:snapToGrid w:val="0"/>
        <w:spacing w:line="400" w:lineRule="exact"/>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sz w:val="24"/>
          <w:szCs w:val="24"/>
          <w:highlight w:val="none"/>
        </w:rPr>
        <w:t>为采购项目提供整体设计、规范编制或者项目管理、监理、检测等服务的供应商再参加该采购项目的其他采购活动的</w:t>
      </w:r>
      <w:r>
        <w:rPr>
          <w:rFonts w:hint="eastAsia" w:ascii="宋体" w:hAnsi="宋体" w:cs="宋体"/>
          <w:sz w:val="24"/>
          <w:szCs w:val="24"/>
          <w:highlight w:val="none"/>
          <w:lang w:eastAsia="zh-CN"/>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未在规定时间内将</w:t>
      </w:r>
      <w:r>
        <w:rPr>
          <w:rFonts w:hint="eastAsia" w:ascii="宋体" w:hAnsi="宋体" w:cs="宋体"/>
          <w:color w:val="auto"/>
          <w:sz w:val="24"/>
          <w:szCs w:val="24"/>
          <w:highlight w:val="none"/>
          <w:lang w:val="en-US" w:eastAsia="zh-CN"/>
        </w:rPr>
        <w:t>《比选文件发售登记表</w:t>
      </w:r>
      <w:r>
        <w:rPr>
          <w:rFonts w:hint="eastAsia" w:ascii="宋体" w:hAnsi="宋体" w:eastAsia="宋体" w:cs="宋体"/>
          <w:color w:val="auto"/>
          <w:sz w:val="24"/>
          <w:szCs w:val="24"/>
          <w:highlight w:val="none"/>
          <w:lang w:val="en-US" w:eastAsia="zh-CN"/>
        </w:rPr>
        <w:t>》发送至</w:t>
      </w:r>
      <w:r>
        <w:rPr>
          <w:rFonts w:hint="eastAsia" w:ascii="宋体" w:hAnsi="宋体" w:cs="宋体"/>
          <w:color w:val="auto"/>
          <w:sz w:val="24"/>
          <w:szCs w:val="24"/>
          <w:highlight w:val="none"/>
          <w:lang w:val="en-US" w:eastAsia="zh-CN"/>
        </w:rPr>
        <w:t>比选代理机构</w:t>
      </w:r>
      <w:r>
        <w:rPr>
          <w:rFonts w:hint="eastAsia" w:ascii="宋体" w:hAnsi="宋体" w:eastAsia="宋体" w:cs="宋体"/>
          <w:color w:val="auto"/>
          <w:sz w:val="24"/>
          <w:szCs w:val="24"/>
          <w:highlight w:val="none"/>
          <w:lang w:val="en-US" w:eastAsia="zh-CN"/>
        </w:rPr>
        <w:t>邮箱的</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6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）未按照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文件的规定提交</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保证金的；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57"/>
    <w:bookmarkEnd w:id="158"/>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9" w:name="_Toc76462336"/>
      <w:bookmarkEnd w:id="159"/>
      <w:bookmarkStart w:id="160" w:name="_Toc106030891"/>
      <w:bookmarkEnd w:id="160"/>
      <w:bookmarkStart w:id="161" w:name="_Toc21054"/>
      <w:bookmarkEnd w:id="161"/>
      <w:bookmarkStart w:id="162" w:name="_Toc30757"/>
      <w:bookmarkStart w:id="163" w:name="_Toc18456"/>
      <w:bookmarkStart w:id="164" w:name="_Toc2577"/>
      <w:r>
        <w:rPr>
          <w:rFonts w:hint="eastAsia" w:asciiTheme="minorEastAsia" w:hAnsiTheme="minorEastAsia" w:eastAsiaTheme="minorEastAsia" w:cstheme="minorEastAsia"/>
          <w:color w:val="auto"/>
          <w:sz w:val="24"/>
          <w:highlight w:val="none"/>
        </w:rPr>
        <w:t>四、采购终止</w:t>
      </w:r>
      <w:bookmarkEnd w:id="162"/>
      <w:bookmarkEnd w:id="163"/>
      <w:bookmarkEnd w:id="164"/>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65" w:name="_Toc32240"/>
      <w:bookmarkEnd w:id="165"/>
      <w:bookmarkStart w:id="166" w:name="_Toc102227313"/>
      <w:bookmarkEnd w:id="166"/>
      <w:bookmarkStart w:id="167" w:name="_Toc76462337"/>
      <w:bookmarkEnd w:id="167"/>
      <w:bookmarkStart w:id="168" w:name="_Toc106030892"/>
      <w:bookmarkEnd w:id="168"/>
      <w:bookmarkStart w:id="169" w:name="_Toc27960"/>
      <w:bookmarkStart w:id="170" w:name="_Toc31318"/>
      <w:bookmarkStart w:id="171" w:name="_Toc16781"/>
      <w:r>
        <w:rPr>
          <w:rFonts w:hint="eastAsia" w:asciiTheme="minorEastAsia" w:hAnsiTheme="minorEastAsia" w:eastAsiaTheme="minorEastAsia" w:cstheme="minorEastAsia"/>
          <w:color w:val="auto"/>
          <w:sz w:val="36"/>
          <w:szCs w:val="30"/>
          <w:highlight w:val="none"/>
        </w:rPr>
        <w:t>第五篇  供应商须知</w:t>
      </w:r>
      <w:bookmarkEnd w:id="169"/>
      <w:bookmarkEnd w:id="170"/>
      <w:bookmarkEnd w:id="171"/>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2" w:name="_Toc342913389"/>
      <w:bookmarkEnd w:id="172"/>
      <w:bookmarkStart w:id="173" w:name="_Toc106030893"/>
      <w:bookmarkEnd w:id="173"/>
      <w:bookmarkStart w:id="174" w:name="_Toc76462338"/>
      <w:bookmarkEnd w:id="174"/>
      <w:bookmarkStart w:id="175" w:name="_Toc11013"/>
      <w:bookmarkEnd w:id="175"/>
      <w:bookmarkStart w:id="176" w:name="_Toc31641"/>
      <w:bookmarkStart w:id="177" w:name="_Toc22841"/>
      <w:bookmarkStart w:id="178" w:name="_Toc15712"/>
      <w:r>
        <w:rPr>
          <w:rFonts w:hint="eastAsia" w:asciiTheme="minorEastAsia" w:hAnsiTheme="minorEastAsia" w:eastAsiaTheme="minorEastAsia" w:cstheme="minorEastAsia"/>
          <w:color w:val="auto"/>
          <w:sz w:val="24"/>
          <w:highlight w:val="none"/>
        </w:rPr>
        <w:t>一、比选费用</w:t>
      </w:r>
      <w:bookmarkEnd w:id="176"/>
      <w:bookmarkEnd w:id="177"/>
      <w:bookmarkEnd w:id="178"/>
    </w:p>
    <w:p>
      <w:pPr>
        <w:pStyle w:val="15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9" w:name="_Toc11832"/>
      <w:bookmarkEnd w:id="179"/>
      <w:bookmarkStart w:id="180" w:name="_Toc76462339"/>
      <w:bookmarkEnd w:id="180"/>
      <w:bookmarkStart w:id="181" w:name="_Toc106030894"/>
      <w:bookmarkEnd w:id="181"/>
      <w:bookmarkStart w:id="182" w:name="_Toc342913391"/>
      <w:bookmarkEnd w:id="182"/>
      <w:bookmarkStart w:id="183" w:name="_Toc19531"/>
      <w:bookmarkStart w:id="184" w:name="_Toc17476"/>
      <w:bookmarkStart w:id="185" w:name="_Toc21109"/>
      <w:r>
        <w:rPr>
          <w:rFonts w:hint="eastAsia" w:asciiTheme="minorEastAsia" w:hAnsiTheme="minorEastAsia" w:eastAsiaTheme="minorEastAsia" w:cstheme="minorEastAsia"/>
          <w:color w:val="auto"/>
          <w:sz w:val="24"/>
          <w:highlight w:val="none"/>
        </w:rPr>
        <w:t>二、竞争性比选文件</w:t>
      </w:r>
      <w:bookmarkEnd w:id="183"/>
      <w:bookmarkEnd w:id="184"/>
      <w:bookmarkEnd w:id="185"/>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bookmarkStart w:id="186" w:name="_Toc179714297"/>
      <w:bookmarkEnd w:id="186"/>
      <w:bookmarkStart w:id="187" w:name="_Toc102227318"/>
      <w:bookmarkEnd w:id="187"/>
      <w:bookmarkStart w:id="188" w:name="_Toc342913392"/>
      <w:bookmarkEnd w:id="188"/>
      <w:bookmarkStart w:id="189" w:name="_Toc76462340"/>
      <w:bookmarkEnd w:id="189"/>
      <w:bookmarkStart w:id="190" w:name="_Toc29817"/>
      <w:bookmarkEnd w:id="190"/>
      <w:bookmarkStart w:id="191" w:name="_Toc106030895"/>
      <w:bookmarkEnd w:id="191"/>
      <w:bookmarkStart w:id="192" w:name="_Toc18294"/>
      <w:bookmarkStart w:id="193" w:name="_Toc4662"/>
      <w:bookmarkStart w:id="194" w:name="_Toc23795"/>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截止时间起90天。</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）比选保证金</w:t>
      </w:r>
    </w:p>
    <w:p>
      <w:pPr>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文件规定交纳</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的有效约束条件。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的有效期限在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有效期过后三十天继续有效。</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币种应与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报价币种相同。</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评选结束后，比选人将退还除成交供应商以外的供应商的比选保证金，合同签订后无息退还成交供应商的比选保证金。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有下列情形之一的，采购人或者采购代理机构可以不退还</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有效期撤回</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未按规定提交履约保证金的；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过程中弄虚作假，提供虚假材料的；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无正当理由不与采购人签订合同的；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中未说明且未经采购人同意，将</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项目分包给他人的；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拒绝履行合同义务的；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6.7其他严重扰乱招投标程序的。</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三、参选要求</w:t>
      </w:r>
      <w:bookmarkEnd w:id="192"/>
      <w:bookmarkEnd w:id="193"/>
      <w:bookmarkEnd w:id="194"/>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5" w:name="_Toc9369"/>
      <w:bookmarkEnd w:id="195"/>
      <w:bookmarkStart w:id="196" w:name="_Toc76462341"/>
      <w:bookmarkEnd w:id="196"/>
      <w:bookmarkStart w:id="197" w:name="_Toc106030896"/>
      <w:bookmarkEnd w:id="197"/>
      <w:bookmarkStart w:id="198" w:name="_Toc3623"/>
      <w:bookmarkStart w:id="199" w:name="_Toc26377"/>
      <w:bookmarkStart w:id="200" w:name="_Toc30084"/>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198"/>
      <w:bookmarkEnd w:id="199"/>
      <w:bookmarkEnd w:id="20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1" w:name="_Toc76462342"/>
      <w:bookmarkEnd w:id="201"/>
      <w:bookmarkStart w:id="202" w:name="_Toc342913395"/>
      <w:bookmarkEnd w:id="202"/>
      <w:bookmarkStart w:id="203" w:name="_Toc29760"/>
      <w:bookmarkEnd w:id="203"/>
      <w:bookmarkStart w:id="204" w:name="_Toc102227321"/>
      <w:bookmarkEnd w:id="204"/>
      <w:bookmarkStart w:id="205" w:name="_Toc106030897"/>
      <w:bookmarkEnd w:id="205"/>
      <w:bookmarkStart w:id="206" w:name="_Toc10489"/>
      <w:bookmarkStart w:id="207" w:name="_Toc994"/>
      <w:bookmarkStart w:id="208" w:name="_Toc20908"/>
      <w:r>
        <w:rPr>
          <w:rFonts w:hint="eastAsia" w:asciiTheme="minorEastAsia" w:hAnsiTheme="minorEastAsia" w:eastAsiaTheme="minorEastAsia" w:cstheme="minorEastAsia"/>
          <w:color w:val="auto"/>
          <w:sz w:val="24"/>
          <w:highlight w:val="none"/>
        </w:rPr>
        <w:t>五、成交通知</w:t>
      </w:r>
      <w:bookmarkEnd w:id="206"/>
      <w:bookmarkEnd w:id="207"/>
      <w:bookmarkEnd w:id="208"/>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和“中国采购与招标网”（https://www.chinabidding.com.cn/）</w:t>
      </w:r>
      <w:r>
        <w:rPr>
          <w:rFonts w:hint="eastAsia" w:asciiTheme="minorEastAsia" w:hAnsiTheme="minorEastAsia" w:eastAsiaTheme="minorEastAsia" w:cstheme="minorEastAsia"/>
          <w:color w:val="auto"/>
          <w:sz w:val="24"/>
          <w:szCs w:val="24"/>
          <w:highlight w:val="none"/>
        </w:rPr>
        <w:t>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209" w:name="_Toc106030898"/>
      <w:bookmarkEnd w:id="209"/>
      <w:bookmarkStart w:id="210" w:name="_Toc76462343"/>
      <w:bookmarkEnd w:id="210"/>
      <w:bookmarkStart w:id="211" w:name="_Toc27425"/>
      <w:bookmarkEnd w:id="211"/>
      <w:bookmarkStart w:id="212" w:name="_Toc4289"/>
      <w:bookmarkStart w:id="213" w:name="_Toc27612"/>
      <w:bookmarkStart w:id="214" w:name="_Toc16322"/>
      <w:r>
        <w:rPr>
          <w:rFonts w:hint="eastAsia" w:asciiTheme="minorEastAsia" w:hAnsiTheme="minorEastAsia" w:eastAsiaTheme="minorEastAsia" w:cstheme="minorEastAsia"/>
          <w:color w:val="auto"/>
          <w:sz w:val="24"/>
          <w:highlight w:val="none"/>
        </w:rPr>
        <w:t>六、关于</w:t>
      </w:r>
      <w:bookmarkEnd w:id="212"/>
      <w:bookmarkEnd w:id="213"/>
      <w:bookmarkEnd w:id="214"/>
      <w:r>
        <w:rPr>
          <w:rFonts w:hint="eastAsia" w:asciiTheme="minorEastAsia" w:hAnsiTheme="minorEastAsia" w:eastAsiaTheme="minorEastAsia" w:cstheme="minorEastAsia"/>
          <w:color w:val="auto"/>
          <w:sz w:val="24"/>
          <w:highlight w:val="none"/>
          <w:lang w:val="en-US" w:eastAsia="zh-CN"/>
        </w:rPr>
        <w:t>质疑</w:t>
      </w:r>
    </w:p>
    <w:p>
      <w:pPr>
        <w:spacing w:line="400" w:lineRule="exact"/>
        <w:ind w:firstLine="360" w:firstLineChars="15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过程和成交结果使自己的权益收到伤害的，可向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人或</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代理机构以书面形式提出质疑。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1.质疑时限、内容</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1.1供应商认为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过程、成交结果使自己的权益受到损害的，可以在知道或者应知其权益受到损害之日起</w:t>
      </w:r>
      <w:r>
        <w:rPr>
          <w:rFonts w:hint="eastAsia" w:ascii="宋体" w:hAnsi="宋体" w:eastAsia="宋体" w:cs="宋体"/>
          <w:b/>
          <w:bCs/>
          <w:sz w:val="24"/>
          <w:highlight w:val="none"/>
          <w:lang w:eastAsia="zh-CN"/>
        </w:rPr>
        <w:t>2</w:t>
      </w:r>
      <w:r>
        <w:rPr>
          <w:rFonts w:hint="eastAsia" w:ascii="宋体" w:hAnsi="宋体" w:eastAsia="宋体" w:cs="宋体"/>
          <w:sz w:val="24"/>
          <w:highlight w:val="none"/>
        </w:rPr>
        <w:t>个工作日内，以书面形式向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代理机构提出质疑。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1.2.1供应商的姓名或者名称、地址、邮编、联系人及联系电话；</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1.2.2</w:t>
      </w:r>
      <w:r>
        <w:rPr>
          <w:rFonts w:hint="eastAsia" w:ascii="宋体" w:hAnsi="宋体" w:eastAsia="宋体" w:cs="宋体"/>
          <w:sz w:val="24"/>
          <w:szCs w:val="24"/>
          <w:highlight w:val="none"/>
        </w:rPr>
        <w:t>质疑项目的项目名称、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以及采购执行编号</w:t>
      </w:r>
      <w:r>
        <w:rPr>
          <w:rFonts w:hint="eastAsia" w:ascii="宋体" w:hAnsi="宋体" w:eastAsia="宋体" w:cs="宋体"/>
          <w:sz w:val="24"/>
          <w:highlight w:val="none"/>
        </w:rPr>
        <w:t>；</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1.2.3具体、明确的质疑事项和与质疑事项相关的请求；</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1.2.4事实依据；</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1.2.5必要的法律依据；</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1.2.6提出质疑的日期；</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2.质疑答复</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3.其他</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highlight w:val="none"/>
        </w:rPr>
        <w:t>3.2质疑函范本可在财政部门户网站和中国政府采购网下载。</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15" w:name="_Toc813"/>
      <w:bookmarkEnd w:id="215"/>
      <w:bookmarkStart w:id="216" w:name="_Toc76462344"/>
      <w:bookmarkEnd w:id="216"/>
      <w:bookmarkStart w:id="217" w:name="_Toc106030899"/>
      <w:bookmarkEnd w:id="217"/>
      <w:bookmarkStart w:id="218" w:name="_Toc27468"/>
      <w:bookmarkStart w:id="219" w:name="_Toc3392"/>
      <w:bookmarkStart w:id="220" w:name="_Toc16809"/>
      <w:r>
        <w:rPr>
          <w:rFonts w:hint="eastAsia" w:asciiTheme="minorEastAsia" w:hAnsiTheme="minorEastAsia" w:eastAsiaTheme="minorEastAsia" w:cstheme="minorEastAsia"/>
          <w:color w:val="auto"/>
          <w:sz w:val="24"/>
          <w:highlight w:val="none"/>
        </w:rPr>
        <w:t>七、采购代理服务费</w:t>
      </w:r>
      <w:bookmarkEnd w:id="218"/>
      <w:bookmarkEnd w:id="219"/>
      <w:bookmarkEnd w:id="220"/>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供应商领取成交通知书前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4500元</w:t>
      </w:r>
      <w:r>
        <w:rPr>
          <w:rFonts w:hint="eastAsia" w:asciiTheme="minorEastAsia" w:hAnsiTheme="minorEastAsia" w:eastAsiaTheme="minorEastAsia" w:cstheme="minorEastAsia"/>
          <w:color w:val="auto"/>
          <w:sz w:val="24"/>
          <w:highlight w:val="none"/>
        </w:rPr>
        <w:t>。</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）采购代理服务费缴纳账户信息：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221" w:name="_Toc30259"/>
      <w:bookmarkEnd w:id="221"/>
      <w:bookmarkStart w:id="222" w:name="_Toc102227322"/>
      <w:bookmarkEnd w:id="222"/>
      <w:bookmarkStart w:id="223" w:name="_Toc342913396"/>
      <w:bookmarkEnd w:id="223"/>
      <w:bookmarkStart w:id="224" w:name="_Toc76462346"/>
      <w:bookmarkEnd w:id="224"/>
      <w:bookmarkStart w:id="225" w:name="_Toc106030901"/>
      <w:bookmarkEnd w:id="225"/>
      <w:bookmarkStart w:id="226" w:name="_Toc27155"/>
      <w:bookmarkStart w:id="227" w:name="_Toc22641"/>
      <w:bookmarkStart w:id="228" w:name="_Toc11641055"/>
      <w:bookmarkStart w:id="229" w:name="_Toc12789059"/>
      <w:r>
        <w:rPr>
          <w:rFonts w:hint="eastAsia" w:asciiTheme="minorEastAsia" w:hAnsiTheme="minorEastAsia" w:eastAsiaTheme="minorEastAsia" w:cstheme="minorEastAsia"/>
          <w:color w:val="auto"/>
          <w:sz w:val="24"/>
          <w:szCs w:val="24"/>
          <w:highlight w:val="none"/>
        </w:rPr>
        <w:t>户  名：华春建设工程项目管理有限责任公司重庆分公司</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开户行：工行刘家台支行</w:t>
      </w:r>
    </w:p>
    <w:p>
      <w:pPr>
        <w:spacing w:line="400" w:lineRule="exact"/>
        <w:ind w:firstLine="480" w:firstLineChars="200"/>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账  号：3100 2105 0900 0017 004</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30" w:name="_Toc11813"/>
      <w:r>
        <w:rPr>
          <w:rFonts w:hint="eastAsia" w:asciiTheme="minorEastAsia" w:hAnsiTheme="minorEastAsia" w:eastAsiaTheme="minorEastAsia" w:cstheme="minorEastAsia"/>
          <w:color w:val="auto"/>
          <w:sz w:val="24"/>
          <w:highlight w:val="none"/>
        </w:rPr>
        <w:t>八、签订合同</w:t>
      </w:r>
      <w:bookmarkEnd w:id="226"/>
      <w:bookmarkEnd w:id="227"/>
      <w:bookmarkEnd w:id="230"/>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31" w:name="_Toc106030902"/>
      <w:bookmarkEnd w:id="231"/>
      <w:bookmarkStart w:id="232" w:name="_Toc16198"/>
      <w:bookmarkEnd w:id="232"/>
    </w:p>
    <w:p>
      <w:pPr>
        <w:rPr>
          <w:rFonts w:hint="eastAsia" w:asciiTheme="minorEastAsia" w:hAnsiTheme="minorEastAsia" w:eastAsiaTheme="minorEastAsia" w:cstheme="minorEastAsia"/>
          <w:color w:val="auto"/>
          <w:sz w:val="24"/>
          <w:szCs w:val="24"/>
          <w:highlight w:val="none"/>
        </w:rPr>
      </w:pP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lang w:val="en-US" w:eastAsia="zh-CN"/>
        </w:rPr>
      </w:pPr>
      <w:bookmarkStart w:id="233"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33"/>
      <w:bookmarkStart w:id="234" w:name="_Toc14081"/>
      <w:bookmarkStart w:id="235" w:name="_Toc440794668"/>
      <w:bookmarkStart w:id="236" w:name="_Toc436925127"/>
      <w:bookmarkStart w:id="237" w:name="_Toc461641182"/>
      <w:r>
        <w:rPr>
          <w:rFonts w:hint="eastAsia" w:asciiTheme="minorEastAsia" w:hAnsiTheme="minorEastAsia" w:eastAsiaTheme="minorEastAsia" w:cstheme="minorEastAsia"/>
          <w:color w:val="auto"/>
          <w:sz w:val="36"/>
          <w:szCs w:val="30"/>
          <w:highlight w:val="none"/>
          <w:lang w:val="en-US" w:eastAsia="zh-CN"/>
        </w:rPr>
        <w:t>采购合同（参考）</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采购合同</w:t>
      </w:r>
    </w:p>
    <w:p>
      <w:pPr>
        <w:spacing w:line="500" w:lineRule="exact"/>
        <w:jc w:val="center"/>
        <w:rPr>
          <w:rFonts w:hint="eastAsia" w:ascii="宋体" w:hAnsi="宋体" w:cs="宋体"/>
          <w:color w:val="auto"/>
          <w:highlight w:val="none"/>
        </w:rPr>
      </w:pPr>
      <w:r>
        <w:rPr>
          <w:rFonts w:hint="eastAsia" w:ascii="宋体" w:hAnsi="宋体" w:cs="宋体"/>
          <w:color w:val="auto"/>
          <w:highlight w:val="none"/>
        </w:rPr>
        <w:t>（项目</w:t>
      </w:r>
      <w:r>
        <w:rPr>
          <w:rFonts w:hint="eastAsia" w:ascii="宋体" w:hAnsi="宋体" w:cs="宋体"/>
          <w:color w:val="auto"/>
          <w:highlight w:val="none"/>
          <w:lang w:val="en-US" w:eastAsia="zh-CN"/>
        </w:rPr>
        <w:t>编</w:t>
      </w:r>
      <w:r>
        <w:rPr>
          <w:rFonts w:hint="eastAsia" w:ascii="宋体" w:hAnsi="宋体" w:cs="宋体"/>
          <w:color w:val="auto"/>
          <w:highlight w:val="none"/>
        </w:rPr>
        <w:t>号：     ）</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甲方（需方）：___________________________     </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乙方（供方）：___________________________    </w:t>
      </w:r>
    </w:p>
    <w:p>
      <w:pPr>
        <w:spacing w:line="500" w:lineRule="exact"/>
        <w:rPr>
          <w:rFonts w:hint="eastAsia" w:ascii="宋体" w:hAnsi="宋体" w:cs="宋体"/>
          <w:color w:val="auto"/>
          <w:sz w:val="24"/>
          <w:highlight w:val="none"/>
        </w:rPr>
      </w:pP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1843"/>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项目名称</w:t>
            </w:r>
          </w:p>
        </w:tc>
        <w:tc>
          <w:tcPr>
            <w:tcW w:w="3416" w:type="dxa"/>
            <w:gridSpan w:val="2"/>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租金（元/年）</w:t>
            </w:r>
          </w:p>
        </w:tc>
        <w:tc>
          <w:tcPr>
            <w:tcW w:w="1559" w:type="dxa"/>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color w:val="auto"/>
                <w:sz w:val="21"/>
                <w:szCs w:val="21"/>
                <w:highlight w:val="none"/>
              </w:rPr>
            </w:pPr>
          </w:p>
        </w:tc>
        <w:tc>
          <w:tcPr>
            <w:tcW w:w="3416" w:type="dxa"/>
            <w:gridSpan w:val="2"/>
            <w:vAlign w:val="center"/>
          </w:tcPr>
          <w:p>
            <w:pPr>
              <w:spacing w:line="240" w:lineRule="atLeast"/>
              <w:jc w:val="center"/>
              <w:rPr>
                <w:rFonts w:hint="eastAsia" w:ascii="宋体" w:hAnsi="宋体" w:cs="宋体"/>
                <w:color w:val="auto"/>
                <w:sz w:val="21"/>
                <w:szCs w:val="21"/>
                <w:highlight w:val="none"/>
              </w:rPr>
            </w:pPr>
          </w:p>
        </w:tc>
        <w:tc>
          <w:tcPr>
            <w:tcW w:w="1559" w:type="dxa"/>
            <w:vAlign w:val="center"/>
          </w:tcPr>
          <w:p>
            <w:pPr>
              <w:spacing w:line="240" w:lineRule="atLeast"/>
              <w:jc w:val="center"/>
              <w:rPr>
                <w:rFonts w:hint="eastAsia" w:ascii="宋体" w:hAnsi="宋体" w:cs="宋体"/>
                <w:color w:val="auto"/>
                <w:sz w:val="21"/>
                <w:szCs w:val="21"/>
                <w:highlight w:val="none"/>
              </w:rPr>
            </w:pPr>
          </w:p>
        </w:tc>
        <w:tc>
          <w:tcPr>
            <w:tcW w:w="1567" w:type="dxa"/>
            <w:vAlign w:val="center"/>
          </w:tcPr>
          <w:p>
            <w:pPr>
              <w:spacing w:line="240" w:lineRule="atLeast"/>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5"/>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6"/>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US" w:eastAsia="zh-CN"/>
              </w:rPr>
              <w:t>验收</w:t>
            </w:r>
            <w:r>
              <w:rPr>
                <w:rFonts w:hint="eastAsia" w:ascii="宋体" w:hAnsi="宋体" w:cs="宋体"/>
                <w:color w:val="auto"/>
                <w:sz w:val="21"/>
                <w:szCs w:val="21"/>
                <w:highlight w:val="none"/>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三、付款方式：</w:t>
            </w:r>
          </w:p>
          <w:p>
            <w:pPr>
              <w:pStyle w:val="32"/>
              <w:spacing w:line="240" w:lineRule="atLeas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628" w:type="dxa"/>
            <w:gridSpan w:val="6"/>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628" w:type="dxa"/>
            <w:gridSpan w:val="6"/>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1.采购文件及其补遗文件、响应文件和承诺是本合同不可分割的部分。</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2"/>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4"/>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pPr>
              <w:spacing w:line="240" w:lineRule="atLeast"/>
              <w:rPr>
                <w:rFonts w:hint="eastAsia" w:ascii="宋体" w:hAnsi="宋体" w:cs="宋体"/>
                <w:color w:val="auto"/>
                <w:sz w:val="21"/>
                <w:szCs w:val="21"/>
                <w:highlight w:val="none"/>
              </w:rPr>
            </w:pPr>
          </w:p>
          <w:p>
            <w:pPr>
              <w:spacing w:line="240" w:lineRule="atLeast"/>
              <w:rPr>
                <w:rFonts w:hint="eastAsia" w:ascii="宋体" w:hAnsi="宋体" w:cs="宋体"/>
                <w:color w:val="auto"/>
                <w:sz w:val="21"/>
                <w:szCs w:val="21"/>
                <w:highlight w:val="none"/>
              </w:rPr>
            </w:pPr>
          </w:p>
        </w:tc>
      </w:tr>
    </w:tbl>
    <w:p>
      <w:pPr>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pPr>
        <w:widowControl/>
        <w:kinsoku/>
        <w:wordWrap/>
        <w:overflowPunct/>
        <w:topLinePunct w:val="0"/>
        <w:autoSpaceDE/>
        <w:autoSpaceDN/>
        <w:bidi w:val="0"/>
        <w:spacing w:line="360" w:lineRule="auto"/>
        <w:jc w:val="left"/>
        <w:textAlignment w:val="auto"/>
        <w:rPr>
          <w:rFonts w:hint="eastAsia" w:ascii="宋体" w:hAnsi="宋体" w:eastAsia="宋体" w:cs="宋体"/>
          <w:b/>
          <w:bCs/>
          <w:color w:val="auto"/>
          <w:sz w:val="22"/>
          <w:szCs w:val="22"/>
          <w:highlight w:val="none"/>
        </w:rPr>
      </w:pPr>
    </w:p>
    <w:bookmarkEnd w:id="234"/>
    <w:bookmarkEnd w:id="235"/>
    <w:bookmarkEnd w:id="236"/>
    <w:bookmarkEnd w:id="237"/>
    <w:p>
      <w:pPr>
        <w:pStyle w:val="4"/>
        <w:spacing w:before="0" w:after="0" w:line="360" w:lineRule="auto"/>
        <w:jc w:val="center"/>
        <w:rPr>
          <w:rFonts w:hint="eastAsia" w:asciiTheme="minorEastAsia" w:hAnsiTheme="minorEastAsia" w:eastAsiaTheme="minorEastAsia" w:cstheme="minorEastAsia"/>
          <w:color w:val="auto"/>
          <w:sz w:val="36"/>
          <w:szCs w:val="36"/>
          <w:highlight w:val="none"/>
        </w:rPr>
      </w:pPr>
      <w:bookmarkStart w:id="238" w:name="_Toc11026"/>
      <w:bookmarkStart w:id="239" w:name="_Toc13094"/>
      <w:bookmarkStart w:id="240" w:name="_Toc14944"/>
    </w:p>
    <w:p>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28"/>
      <w:bookmarkEnd w:id="229"/>
      <w:bookmarkEnd w:id="238"/>
      <w:bookmarkStart w:id="241" w:name="_Toc26889"/>
      <w:r>
        <w:rPr>
          <w:rFonts w:hint="eastAsia" w:asciiTheme="minorEastAsia" w:hAnsiTheme="minorEastAsia" w:eastAsiaTheme="minorEastAsia" w:cstheme="minorEastAsia"/>
          <w:bCs/>
          <w:color w:val="auto"/>
          <w:sz w:val="36"/>
          <w:szCs w:val="30"/>
          <w:highlight w:val="none"/>
        </w:rPr>
        <w:t>响应文件编制要求</w:t>
      </w:r>
      <w:bookmarkEnd w:id="239"/>
      <w:bookmarkEnd w:id="240"/>
      <w:bookmarkEnd w:id="24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其他技术资料</w:t>
      </w:r>
      <w:r>
        <w:rPr>
          <w:rFonts w:hint="eastAsia" w:ascii="宋体" w:hAnsi="宋体" w:eastAsia="宋体" w:cs="宋体"/>
          <w:color w:val="auto"/>
          <w:sz w:val="24"/>
          <w:szCs w:val="28"/>
          <w:highlight w:val="none"/>
          <w:lang w:eastAsia="zh-CN"/>
        </w:rPr>
        <w:t>（格式自拟）</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4"/>
          <w:highlight w:val="none"/>
        </w:rPr>
      </w:pPr>
      <w:bookmarkStart w:id="242" w:name="_Toc11543"/>
      <w:bookmarkEnd w:id="242"/>
      <w:bookmarkStart w:id="243" w:name="_Toc313008356"/>
      <w:bookmarkEnd w:id="243"/>
      <w:bookmarkStart w:id="244" w:name="_Toc76462350"/>
      <w:bookmarkEnd w:id="244"/>
      <w:bookmarkStart w:id="245" w:name="_Toc313888360"/>
      <w:bookmarkEnd w:id="245"/>
      <w:bookmarkStart w:id="246" w:name="_Toc106030906"/>
      <w:bookmarkEnd w:id="246"/>
      <w:bookmarkStart w:id="247" w:name="_Toc342913419"/>
      <w:bookmarkEnd w:id="247"/>
      <w:bookmarkStart w:id="248" w:name="_Toc15372"/>
      <w:bookmarkStart w:id="249" w:name="_Toc22083"/>
      <w:r>
        <w:rPr>
          <w:rFonts w:hint="eastAsia" w:asciiTheme="minorEastAsia" w:hAnsiTheme="minorEastAsia" w:eastAsiaTheme="minorEastAsia" w:cstheme="minorEastAsia"/>
          <w:color w:val="auto"/>
          <w:sz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0" w:name="_Toc28503"/>
      <w:r>
        <w:rPr>
          <w:rFonts w:hint="eastAsia" w:asciiTheme="minorEastAsia" w:hAnsiTheme="minorEastAsia" w:eastAsiaTheme="minorEastAsia" w:cstheme="minorEastAsia"/>
          <w:color w:val="auto"/>
          <w:sz w:val="24"/>
          <w:highlight w:val="none"/>
        </w:rPr>
        <w:t>一、经济部分</w:t>
      </w:r>
      <w:bookmarkEnd w:id="248"/>
      <w:bookmarkEnd w:id="249"/>
      <w:bookmarkEnd w:id="250"/>
    </w:p>
    <w:p>
      <w:pPr>
        <w:jc w:val="center"/>
        <w:rPr>
          <w:rFonts w:hint="eastAsia" w:asciiTheme="minorEastAsia" w:hAnsiTheme="minorEastAsia" w:eastAsiaTheme="minorEastAsia" w:cstheme="minorEastAsia"/>
          <w:b/>
          <w:color w:val="auto"/>
          <w:szCs w:val="28"/>
          <w:highlight w:val="none"/>
        </w:rPr>
      </w:pP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服务，比选</w:t>
      </w:r>
      <w:r>
        <w:rPr>
          <w:rFonts w:hint="eastAsia" w:asciiTheme="minorEastAsia" w:hAnsiTheme="minorEastAsia" w:eastAsiaTheme="minorEastAsia" w:cstheme="minorEastAsia"/>
          <w:b w:val="0"/>
          <w:bCs w:val="0"/>
          <w:color w:val="auto"/>
          <w:sz w:val="24"/>
          <w:szCs w:val="24"/>
          <w:highlight w:val="none"/>
        </w:rPr>
        <w:t>报价</w:t>
      </w:r>
      <w:r>
        <w:rPr>
          <w:rFonts w:hint="eastAsia" w:asciiTheme="minorEastAsia" w:hAnsiTheme="minorEastAsia" w:eastAsiaTheme="minorEastAsia" w:cstheme="minorEastAsia"/>
          <w:color w:val="auto"/>
          <w:sz w:val="24"/>
          <w:szCs w:val="24"/>
          <w:highlight w:val="none"/>
        </w:rPr>
        <w:t>为人民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元</w:t>
      </w:r>
      <w:r>
        <w:rPr>
          <w:rFonts w:hint="eastAsia" w:asciiTheme="minorEastAsia" w:hAnsiTheme="minorEastAsia" w:eastAsiaTheme="minorEastAsia" w:cstheme="minorEastAsia"/>
          <w:color w:val="auto"/>
          <w:sz w:val="24"/>
          <w:szCs w:val="24"/>
          <w:highlight w:val="none"/>
          <w:u w:val="none"/>
          <w:lang w:val="en-US" w:eastAsia="zh-CN"/>
        </w:rPr>
        <w:t xml:space="preserve">/年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每年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）。我方比选报价为闭口价。即在比选有效期和合同有效期内，该报价固定不变。</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Style w:val="22"/>
        <w:rPr>
          <w:rFonts w:hint="eastAsia" w:asciiTheme="minorEastAsia" w:hAnsiTheme="minorEastAsia" w:eastAsiaTheme="minorEastAsia" w:cstheme="minorEastAsia"/>
          <w:color w:val="auto"/>
          <w:sz w:val="24"/>
          <w:szCs w:val="24"/>
          <w:highlight w:val="none"/>
        </w:rPr>
      </w:pPr>
    </w:p>
    <w:p>
      <w:pPr>
        <w:pStyle w:val="82"/>
        <w:rPr>
          <w:rFonts w:hint="eastAsia" w:asciiTheme="minorEastAsia" w:hAnsiTheme="minorEastAsia" w:eastAsiaTheme="minorEastAsia" w:cstheme="minorEastAsia"/>
          <w:color w:val="auto"/>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51" w:name="_Toc342913420"/>
      <w:bookmarkEnd w:id="251"/>
      <w:bookmarkStart w:id="252" w:name="_Toc29766"/>
      <w:bookmarkEnd w:id="252"/>
      <w:bookmarkStart w:id="253" w:name="_Toc76462351"/>
      <w:bookmarkEnd w:id="253"/>
      <w:bookmarkStart w:id="254" w:name="_Toc313888361"/>
      <w:bookmarkEnd w:id="254"/>
      <w:bookmarkStart w:id="255" w:name="_Toc106030907"/>
      <w:bookmarkEnd w:id="255"/>
      <w:bookmarkStart w:id="256" w:name="_Toc313008357"/>
      <w:bookmarkEnd w:id="256"/>
      <w:bookmarkStart w:id="257" w:name="_Toc32546"/>
      <w:bookmarkStart w:id="258" w:name="_Toc2697"/>
      <w:bookmarkStart w:id="259" w:name="_Toc12737"/>
      <w:r>
        <w:rPr>
          <w:rFonts w:hint="eastAsia" w:asciiTheme="minorEastAsia" w:hAnsiTheme="minorEastAsia" w:eastAsiaTheme="minorEastAsia" w:cstheme="minorEastAsia"/>
          <w:color w:val="auto"/>
          <w:sz w:val="24"/>
          <w:highlight w:val="none"/>
        </w:rPr>
        <w:t>二、服务部分</w:t>
      </w:r>
      <w:bookmarkEnd w:id="257"/>
      <w:bookmarkEnd w:id="258"/>
      <w:bookmarkEnd w:id="259"/>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60" w:name="_Toc313008358"/>
      <w:bookmarkEnd w:id="260"/>
      <w:bookmarkStart w:id="261" w:name="_Toc342913421"/>
      <w:bookmarkEnd w:id="261"/>
      <w:bookmarkStart w:id="262" w:name="_Toc106030908"/>
      <w:bookmarkEnd w:id="262"/>
      <w:bookmarkStart w:id="263" w:name="_Toc313888362"/>
      <w:bookmarkEnd w:id="263"/>
      <w:bookmarkStart w:id="264" w:name="_Toc30533"/>
      <w:bookmarkEnd w:id="264"/>
      <w:bookmarkStart w:id="265" w:name="_Toc76462352"/>
      <w:bookmarkEnd w:id="265"/>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bl>
    <w:p>
      <w:pPr>
        <w:rPr>
          <w:rFonts w:hint="eastAsia" w:asciiTheme="minorEastAsia" w:hAnsiTheme="minorEastAsia" w:eastAsiaTheme="minorEastAsia" w:cstheme="minorEastAsia"/>
          <w:color w:val="auto"/>
          <w:highlight w:val="none"/>
        </w:rPr>
      </w:pP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66" w:name="_Toc29373"/>
      <w:r>
        <w:rPr>
          <w:rFonts w:hint="eastAsia" w:asciiTheme="minorEastAsia" w:hAnsiTheme="minorEastAsia" w:eastAsiaTheme="minorEastAsia" w:cstheme="minorEastAsia"/>
          <w:bCs/>
          <w:color w:val="auto"/>
          <w:sz w:val="24"/>
          <w:szCs w:val="16"/>
          <w:highlight w:val="none"/>
        </w:rPr>
        <w:t>年     月     日</w:t>
      </w:r>
      <w:bookmarkEnd w:id="266"/>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1.本表即为对本项目“第二篇项目服务需求”中所列条款进行比较和响应；</w:t>
      </w:r>
    </w:p>
    <w:p>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rPr>
          <w:rFonts w:hint="eastAsia" w:asciiTheme="minorEastAsia" w:hAnsiTheme="minorEastAsia" w:eastAsiaTheme="minorEastAsia" w:cstheme="minorEastAsia"/>
          <w:color w:val="auto"/>
          <w:sz w:val="24"/>
          <w:szCs w:val="24"/>
          <w:highlight w:val="none"/>
        </w:rPr>
      </w:pPr>
    </w:p>
    <w:p>
      <w:pPr>
        <w:pStyle w:val="4"/>
        <w:numPr>
          <w:ilvl w:val="-1"/>
          <w:numId w:val="0"/>
        </w:numPr>
        <w:adjustRightInd w:val="0"/>
        <w:snapToGrid w:val="0"/>
        <w:spacing w:before="0" w:after="0" w:line="400" w:lineRule="exact"/>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1.充电主机AC-DC总功率480KW(单模块120KW)并具备可升级能力，DC-DC总功率600KW(单模块60KW),模块为全液冷并具备带液运输特性（供应商须提供第三方的质检报告复印件，并加盖供应商公章）</w:t>
      </w:r>
    </w:p>
    <w:p>
      <w:pPr>
        <w:pStyle w:val="4"/>
        <w:numPr>
          <w:ilvl w:val="-1"/>
          <w:numId w:val="0"/>
        </w:numPr>
        <w:adjustRightInd w:val="0"/>
        <w:snapToGrid w:val="0"/>
        <w:spacing w:before="0" w:after="0" w:line="400" w:lineRule="exact"/>
        <w:ind w:firstLine="480" w:firstLineChars="200"/>
        <w:rPr>
          <w:rFonts w:hint="eastAsia" w:ascii="宋体" w:hAnsi="宋体" w:eastAsia="宋体" w:cs="宋体"/>
          <w:b w:val="0"/>
          <w:bCs w:val="0"/>
          <w:color w:val="auto"/>
          <w:sz w:val="24"/>
          <w:szCs w:val="24"/>
          <w:highlight w:val="none"/>
          <w:vertAlign w:val="baseline"/>
          <w:lang w:val="en-US" w:eastAsia="zh-CN"/>
        </w:rPr>
      </w:pPr>
    </w:p>
    <w:p>
      <w:pPr>
        <w:pStyle w:val="4"/>
        <w:numPr>
          <w:ilvl w:val="-1"/>
          <w:numId w:val="0"/>
        </w:numPr>
        <w:adjustRightInd w:val="0"/>
        <w:snapToGrid w:val="0"/>
        <w:spacing w:before="0" w:after="0" w:line="400" w:lineRule="exact"/>
        <w:ind w:firstLine="480" w:firstLineChars="200"/>
        <w:rPr>
          <w:rFonts w:hint="eastAsia" w:ascii="宋体" w:hAnsi="宋体" w:eastAsia="宋体" w:cs="宋体"/>
          <w:b w:val="0"/>
          <w:bCs w:val="0"/>
          <w:color w:val="auto"/>
          <w:sz w:val="24"/>
          <w:szCs w:val="24"/>
          <w:highlight w:val="none"/>
          <w:vertAlign w:val="baseline"/>
          <w:lang w:val="en-US" w:eastAsia="zh-CN"/>
        </w:rPr>
      </w:pPr>
    </w:p>
    <w:p>
      <w:pPr>
        <w:pStyle w:val="4"/>
        <w:numPr>
          <w:ilvl w:val="-1"/>
          <w:numId w:val="0"/>
        </w:numPr>
        <w:adjustRightInd w:val="0"/>
        <w:snapToGrid w:val="0"/>
        <w:spacing w:before="0" w:after="0"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b w:val="0"/>
          <w:bCs w:val="0"/>
          <w:color w:val="auto"/>
          <w:sz w:val="24"/>
          <w:szCs w:val="24"/>
          <w:highlight w:val="none"/>
          <w:vertAlign w:val="baseline"/>
          <w:lang w:val="en-US" w:eastAsia="zh-CN"/>
        </w:rPr>
        <w:t>2.供应商提供拟使用的设备品牌、规格、数量，并加盖供应商公章。</w:t>
      </w:r>
      <w:r>
        <w:rPr>
          <w:rFonts w:hint="eastAsia" w:asciiTheme="minorEastAsia" w:hAnsiTheme="minorEastAsia" w:eastAsiaTheme="minorEastAsia" w:cstheme="minorEastAsia"/>
          <w:b w:val="0"/>
          <w:color w:val="auto"/>
          <w:highlight w:val="none"/>
        </w:rPr>
        <w:br w:type="page"/>
      </w:r>
      <w:bookmarkStart w:id="267" w:name="_Toc16652"/>
      <w:bookmarkStart w:id="268" w:name="_Toc10532"/>
      <w:bookmarkStart w:id="269" w:name="_Toc25678"/>
      <w:r>
        <w:rPr>
          <w:rFonts w:hint="eastAsia" w:asciiTheme="minorEastAsia" w:hAnsiTheme="minorEastAsia" w:eastAsiaTheme="minorEastAsia" w:cstheme="minorEastAsia"/>
          <w:color w:val="auto"/>
          <w:sz w:val="24"/>
          <w:highlight w:val="none"/>
        </w:rPr>
        <w:t>三、商务部分</w:t>
      </w:r>
      <w:bookmarkEnd w:id="267"/>
      <w:bookmarkEnd w:id="268"/>
      <w:bookmarkEnd w:id="269"/>
    </w:p>
    <w:p>
      <w:pP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70" w:name="_Toc283382459"/>
      <w:r>
        <w:rPr>
          <w:rFonts w:hint="eastAsia" w:asciiTheme="minorEastAsia" w:hAnsiTheme="minorEastAsia" w:eastAsiaTheme="minorEastAsia" w:cstheme="minorEastAsia"/>
          <w:color w:val="auto"/>
          <w:sz w:val="24"/>
          <w:szCs w:val="24"/>
          <w:highlight w:val="none"/>
        </w:rPr>
        <w:t>（一）商务条款响应</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bl>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1.本表即为对本项目“第三篇项目商务需求”中所列条款进行比较和响应；</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2.本表可扩展。</w:t>
      </w:r>
      <w:r>
        <w:rPr>
          <w:rFonts w:hint="eastAsia" w:asciiTheme="minorEastAsia" w:hAnsiTheme="minorEastAsia" w:eastAsiaTheme="minorEastAsia" w:cstheme="minorEastAsia"/>
          <w:color w:val="auto"/>
          <w:sz w:val="24"/>
          <w:szCs w:val="24"/>
          <w:highlight w:val="none"/>
        </w:rPr>
        <w:br w:type="page"/>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70"/>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71" w:name="_Toc28692"/>
      <w:bookmarkEnd w:id="271"/>
      <w:bookmarkStart w:id="272" w:name="_Toc106030909"/>
      <w:bookmarkEnd w:id="272"/>
      <w:bookmarkStart w:id="273" w:name="_Toc313008359"/>
      <w:bookmarkEnd w:id="273"/>
      <w:bookmarkStart w:id="274" w:name="_Toc76462353"/>
      <w:bookmarkEnd w:id="274"/>
      <w:bookmarkStart w:id="275" w:name="_Toc313888363"/>
      <w:bookmarkEnd w:id="275"/>
      <w:bookmarkStart w:id="276" w:name="_Toc342913422"/>
      <w:bookmarkEnd w:id="276"/>
      <w:r>
        <w:rPr>
          <w:rFonts w:hint="eastAsia" w:asciiTheme="minorEastAsia" w:hAnsiTheme="minorEastAsia" w:eastAsiaTheme="minorEastAsia" w:cstheme="minorEastAsia"/>
          <w:color w:val="auto"/>
          <w:sz w:val="24"/>
          <w:szCs w:val="24"/>
          <w:highlight w:val="none"/>
        </w:rPr>
        <w:br w:type="page"/>
      </w:r>
      <w:bookmarkStart w:id="277" w:name="_Toc23338"/>
      <w:bookmarkStart w:id="278" w:name="_Toc8039"/>
      <w:bookmarkStart w:id="279" w:name="_Toc17631"/>
      <w:r>
        <w:rPr>
          <w:rFonts w:hint="eastAsia" w:asciiTheme="minorEastAsia" w:hAnsiTheme="minorEastAsia" w:eastAsiaTheme="minorEastAsia" w:cstheme="minorEastAsia"/>
          <w:color w:val="auto"/>
          <w:sz w:val="24"/>
          <w:highlight w:val="none"/>
        </w:rPr>
        <w:t>四、资格条件</w:t>
      </w:r>
      <w:bookmarkEnd w:id="277"/>
      <w:bookmarkEnd w:id="278"/>
      <w:bookmarkEnd w:id="279"/>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80" w:name="_Toc14422"/>
      <w:bookmarkEnd w:id="280"/>
      <w:bookmarkStart w:id="281" w:name="_Toc106030910"/>
      <w:bookmarkEnd w:id="281"/>
      <w:bookmarkStart w:id="282" w:name="_Toc76462354"/>
      <w:bookmarkEnd w:id="282"/>
      <w:bookmarkStart w:id="283" w:name="_Toc7667"/>
      <w:bookmarkEnd w:id="283"/>
      <w:bookmarkStart w:id="284" w:name="_Toc27884"/>
      <w:bookmarkStart w:id="285" w:name="_Toc18881"/>
      <w:bookmarkStart w:id="286" w:name="_Toc13702"/>
      <w:r>
        <w:rPr>
          <w:rFonts w:hint="eastAsia" w:asciiTheme="minorEastAsia" w:hAnsiTheme="minorEastAsia" w:eastAsiaTheme="minorEastAsia" w:cstheme="minorEastAsia"/>
          <w:color w:val="auto"/>
          <w:sz w:val="24"/>
          <w:highlight w:val="none"/>
        </w:rPr>
        <w:t>五、其他资料</w:t>
      </w:r>
      <w:bookmarkEnd w:id="284"/>
      <w:bookmarkEnd w:id="285"/>
      <w:bookmarkEnd w:id="286"/>
    </w:p>
    <w:p>
      <w:pP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sz w:val="24"/>
          <w:szCs w:val="24"/>
          <w:highlight w:val="none"/>
        </w:rPr>
        <w:t>供应商总体情况介绍、</w:t>
      </w:r>
      <w:r>
        <w:rPr>
          <w:rFonts w:hint="eastAsia" w:ascii="宋体" w:hAnsi="宋体" w:cs="宋体"/>
          <w:sz w:val="24"/>
          <w:szCs w:val="24"/>
          <w:highlight w:val="none"/>
          <w:lang w:val="en-US" w:eastAsia="zh-CN"/>
        </w:rPr>
        <w:t>信用中国企业报告、</w:t>
      </w:r>
      <w:r>
        <w:rPr>
          <w:rFonts w:hint="eastAsia" w:ascii="宋体" w:hAnsi="宋体" w:cs="宋体"/>
          <w:sz w:val="24"/>
          <w:szCs w:val="24"/>
          <w:highlight w:val="none"/>
        </w:rPr>
        <w:t>其他与本项目有关的资料等</w:t>
      </w: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2"/>
        <w:rPr>
          <w:rFonts w:hint="eastAsia" w:asciiTheme="minorEastAsia" w:hAnsiTheme="minorEastAsia" w:eastAsiaTheme="minorEastAsia" w:cstheme="minorEastAsia"/>
          <w:color w:val="auto"/>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pP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155AD3EC-6826-4B5B-8C05-06B260DA01DD}"/>
  </w:font>
  <w:font w:name="微软雅黑">
    <w:panose1 w:val="020B0503020204020204"/>
    <w:charset w:val="86"/>
    <w:family w:val="auto"/>
    <w:pitch w:val="default"/>
    <w:sig w:usb0="80000287" w:usb1="2ACF3C50" w:usb2="00000016" w:usb3="00000000" w:csb0="0004001F" w:csb1="00000000"/>
    <w:embedRegular r:id="rId2" w:fontKey="{0C8FD7B8-AE85-427A-B6D2-E406B8AD44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r>
      <w:fldChar w:fldCharType="begin"/>
    </w:r>
    <w:r>
      <w:rPr>
        <w:rStyle w:val="6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p>
  <w:p>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41E025A"/>
    <w:multiLevelType w:val="multilevel"/>
    <w:tmpl w:val="141E025A"/>
    <w:lvl w:ilvl="0" w:tentative="0">
      <w:start w:val="1"/>
      <w:numFmt w:val="decimal"/>
      <w:suff w:val="nothing"/>
      <w:lvlText w:val="%1"/>
      <w:lvlJc w:val="center"/>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4DB8"/>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1CA6"/>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666735"/>
    <w:rsid w:val="016E3A01"/>
    <w:rsid w:val="01B6046E"/>
    <w:rsid w:val="01C507DC"/>
    <w:rsid w:val="01CF7782"/>
    <w:rsid w:val="01D737EA"/>
    <w:rsid w:val="01EE2BD1"/>
    <w:rsid w:val="01EE7C08"/>
    <w:rsid w:val="01F3521E"/>
    <w:rsid w:val="01FC7E27"/>
    <w:rsid w:val="020531A4"/>
    <w:rsid w:val="02105DD0"/>
    <w:rsid w:val="025B1A26"/>
    <w:rsid w:val="02AE7397"/>
    <w:rsid w:val="02CB1CF7"/>
    <w:rsid w:val="02F343D6"/>
    <w:rsid w:val="03037256"/>
    <w:rsid w:val="03526967"/>
    <w:rsid w:val="036358E3"/>
    <w:rsid w:val="039E00E0"/>
    <w:rsid w:val="03BD3D36"/>
    <w:rsid w:val="03C50E3C"/>
    <w:rsid w:val="03D119A1"/>
    <w:rsid w:val="040A2CF3"/>
    <w:rsid w:val="041457E8"/>
    <w:rsid w:val="04153F23"/>
    <w:rsid w:val="042A2A5B"/>
    <w:rsid w:val="043A57D9"/>
    <w:rsid w:val="043E138F"/>
    <w:rsid w:val="04402271"/>
    <w:rsid w:val="045559CC"/>
    <w:rsid w:val="048E4BB2"/>
    <w:rsid w:val="04CC47D2"/>
    <w:rsid w:val="04FE61EB"/>
    <w:rsid w:val="05022CF2"/>
    <w:rsid w:val="05663F59"/>
    <w:rsid w:val="05937169"/>
    <w:rsid w:val="059E36F3"/>
    <w:rsid w:val="05A97B5B"/>
    <w:rsid w:val="05B47F69"/>
    <w:rsid w:val="05C217CC"/>
    <w:rsid w:val="05CF6D44"/>
    <w:rsid w:val="05F52847"/>
    <w:rsid w:val="0636240F"/>
    <w:rsid w:val="06450013"/>
    <w:rsid w:val="065C4581"/>
    <w:rsid w:val="065D0A0A"/>
    <w:rsid w:val="066A5A55"/>
    <w:rsid w:val="067803E8"/>
    <w:rsid w:val="06826B27"/>
    <w:rsid w:val="068F292B"/>
    <w:rsid w:val="069631A7"/>
    <w:rsid w:val="069E1975"/>
    <w:rsid w:val="06D93273"/>
    <w:rsid w:val="06E92019"/>
    <w:rsid w:val="070F3095"/>
    <w:rsid w:val="07230354"/>
    <w:rsid w:val="07400F20"/>
    <w:rsid w:val="0745369D"/>
    <w:rsid w:val="07492D5E"/>
    <w:rsid w:val="07584455"/>
    <w:rsid w:val="0765771E"/>
    <w:rsid w:val="083612A8"/>
    <w:rsid w:val="08782F51"/>
    <w:rsid w:val="08942FEC"/>
    <w:rsid w:val="08E73603"/>
    <w:rsid w:val="09280DA2"/>
    <w:rsid w:val="094401F6"/>
    <w:rsid w:val="09700714"/>
    <w:rsid w:val="0993196F"/>
    <w:rsid w:val="09D26061"/>
    <w:rsid w:val="09D27E0F"/>
    <w:rsid w:val="09F4422A"/>
    <w:rsid w:val="0A790C1D"/>
    <w:rsid w:val="0A7A13B6"/>
    <w:rsid w:val="0A85030A"/>
    <w:rsid w:val="0AC179A7"/>
    <w:rsid w:val="0AD63DB2"/>
    <w:rsid w:val="0B004928"/>
    <w:rsid w:val="0B057CC3"/>
    <w:rsid w:val="0B073AE9"/>
    <w:rsid w:val="0B097DC8"/>
    <w:rsid w:val="0B281DB2"/>
    <w:rsid w:val="0B286835"/>
    <w:rsid w:val="0B392039"/>
    <w:rsid w:val="0B7D3DAB"/>
    <w:rsid w:val="0BB05E7F"/>
    <w:rsid w:val="0BBD7F27"/>
    <w:rsid w:val="0BEC2ED1"/>
    <w:rsid w:val="0C000C64"/>
    <w:rsid w:val="0C1C6869"/>
    <w:rsid w:val="0C5114BF"/>
    <w:rsid w:val="0C61547A"/>
    <w:rsid w:val="0C675B15"/>
    <w:rsid w:val="0C9E75C1"/>
    <w:rsid w:val="0CAF6E3B"/>
    <w:rsid w:val="0CB979F2"/>
    <w:rsid w:val="0CFB2CD2"/>
    <w:rsid w:val="0D1A58CE"/>
    <w:rsid w:val="0D8458C4"/>
    <w:rsid w:val="0D852AFC"/>
    <w:rsid w:val="0D97527E"/>
    <w:rsid w:val="0DAB4B9A"/>
    <w:rsid w:val="0DC82110"/>
    <w:rsid w:val="0E023C9B"/>
    <w:rsid w:val="0E274886"/>
    <w:rsid w:val="0E8536A2"/>
    <w:rsid w:val="0E941939"/>
    <w:rsid w:val="0EAD1C9D"/>
    <w:rsid w:val="0EE4486D"/>
    <w:rsid w:val="0EF22370"/>
    <w:rsid w:val="0F3D5D2B"/>
    <w:rsid w:val="0F41564B"/>
    <w:rsid w:val="0F517A28"/>
    <w:rsid w:val="0F73F1F0"/>
    <w:rsid w:val="0F875445"/>
    <w:rsid w:val="0F8F138C"/>
    <w:rsid w:val="0F990090"/>
    <w:rsid w:val="0FA61B22"/>
    <w:rsid w:val="0FA93CD9"/>
    <w:rsid w:val="0FB24129"/>
    <w:rsid w:val="0FC3607D"/>
    <w:rsid w:val="0FC958A4"/>
    <w:rsid w:val="0FCE07B5"/>
    <w:rsid w:val="0FD3043D"/>
    <w:rsid w:val="0FD6060D"/>
    <w:rsid w:val="0FEE34C9"/>
    <w:rsid w:val="1055167A"/>
    <w:rsid w:val="1057100A"/>
    <w:rsid w:val="107E65FB"/>
    <w:rsid w:val="109D1177"/>
    <w:rsid w:val="109F3AE9"/>
    <w:rsid w:val="10A6525C"/>
    <w:rsid w:val="10BF3A0D"/>
    <w:rsid w:val="10C67196"/>
    <w:rsid w:val="113D0264"/>
    <w:rsid w:val="114915F7"/>
    <w:rsid w:val="114D490E"/>
    <w:rsid w:val="11521554"/>
    <w:rsid w:val="11651A69"/>
    <w:rsid w:val="116E08FD"/>
    <w:rsid w:val="116E48C1"/>
    <w:rsid w:val="117D2D56"/>
    <w:rsid w:val="11A93906"/>
    <w:rsid w:val="11BA5AC3"/>
    <w:rsid w:val="11C95F9C"/>
    <w:rsid w:val="11ED7F46"/>
    <w:rsid w:val="120506B9"/>
    <w:rsid w:val="12064AFA"/>
    <w:rsid w:val="120D40DA"/>
    <w:rsid w:val="12333415"/>
    <w:rsid w:val="127C38CA"/>
    <w:rsid w:val="12A460C1"/>
    <w:rsid w:val="12C815A1"/>
    <w:rsid w:val="12E42DCF"/>
    <w:rsid w:val="1300779B"/>
    <w:rsid w:val="131C339B"/>
    <w:rsid w:val="13517FF7"/>
    <w:rsid w:val="13622204"/>
    <w:rsid w:val="138A4589"/>
    <w:rsid w:val="13B8757C"/>
    <w:rsid w:val="13D604FC"/>
    <w:rsid w:val="13E95FBD"/>
    <w:rsid w:val="13F448E3"/>
    <w:rsid w:val="141334FE"/>
    <w:rsid w:val="144A06F6"/>
    <w:rsid w:val="14531E2D"/>
    <w:rsid w:val="14535FF1"/>
    <w:rsid w:val="14687E7F"/>
    <w:rsid w:val="147A5E14"/>
    <w:rsid w:val="1497412F"/>
    <w:rsid w:val="14D42C8D"/>
    <w:rsid w:val="14E530ED"/>
    <w:rsid w:val="15612461"/>
    <w:rsid w:val="156264EB"/>
    <w:rsid w:val="159F14ED"/>
    <w:rsid w:val="15A80551"/>
    <w:rsid w:val="15DF5D8E"/>
    <w:rsid w:val="15FD6E32"/>
    <w:rsid w:val="16293794"/>
    <w:rsid w:val="16585D24"/>
    <w:rsid w:val="16646293"/>
    <w:rsid w:val="168C6C90"/>
    <w:rsid w:val="16A448E1"/>
    <w:rsid w:val="16C0518A"/>
    <w:rsid w:val="16C15FA5"/>
    <w:rsid w:val="16DE7DF3"/>
    <w:rsid w:val="1732777D"/>
    <w:rsid w:val="175A3EB4"/>
    <w:rsid w:val="17942BA8"/>
    <w:rsid w:val="17A00081"/>
    <w:rsid w:val="17A1211B"/>
    <w:rsid w:val="17AC7EF2"/>
    <w:rsid w:val="181C36C8"/>
    <w:rsid w:val="1830456F"/>
    <w:rsid w:val="18ED7A84"/>
    <w:rsid w:val="19042EAD"/>
    <w:rsid w:val="193463F1"/>
    <w:rsid w:val="193E0799"/>
    <w:rsid w:val="195B04F1"/>
    <w:rsid w:val="19655697"/>
    <w:rsid w:val="199709F7"/>
    <w:rsid w:val="199944A6"/>
    <w:rsid w:val="199E6903"/>
    <w:rsid w:val="19BA1C75"/>
    <w:rsid w:val="19D72FED"/>
    <w:rsid w:val="19DD35A1"/>
    <w:rsid w:val="1A0F6516"/>
    <w:rsid w:val="1A332204"/>
    <w:rsid w:val="1A4347C6"/>
    <w:rsid w:val="1A4D54A0"/>
    <w:rsid w:val="1A5A5165"/>
    <w:rsid w:val="1A990B6C"/>
    <w:rsid w:val="1AB23A71"/>
    <w:rsid w:val="1ABA2925"/>
    <w:rsid w:val="1AC63078"/>
    <w:rsid w:val="1B2E1226"/>
    <w:rsid w:val="1B752593"/>
    <w:rsid w:val="1BED4E7D"/>
    <w:rsid w:val="1C0020E8"/>
    <w:rsid w:val="1C0A1246"/>
    <w:rsid w:val="1C237A27"/>
    <w:rsid w:val="1C31559D"/>
    <w:rsid w:val="1C3241EB"/>
    <w:rsid w:val="1C4F0374"/>
    <w:rsid w:val="1C8E5197"/>
    <w:rsid w:val="1C9A2A0F"/>
    <w:rsid w:val="1CA4388D"/>
    <w:rsid w:val="1CAB15C9"/>
    <w:rsid w:val="1CE14A26"/>
    <w:rsid w:val="1CE476E6"/>
    <w:rsid w:val="1D1545CE"/>
    <w:rsid w:val="1D5521F6"/>
    <w:rsid w:val="1DB7314C"/>
    <w:rsid w:val="1DBB273F"/>
    <w:rsid w:val="1DCD060F"/>
    <w:rsid w:val="1DD81269"/>
    <w:rsid w:val="1E01086B"/>
    <w:rsid w:val="1E3D60CC"/>
    <w:rsid w:val="1E406F8C"/>
    <w:rsid w:val="1E845DEA"/>
    <w:rsid w:val="1F1FA109"/>
    <w:rsid w:val="1F4A2E8F"/>
    <w:rsid w:val="1F766D35"/>
    <w:rsid w:val="1F915726"/>
    <w:rsid w:val="1F9966D3"/>
    <w:rsid w:val="1FBF278C"/>
    <w:rsid w:val="20166850"/>
    <w:rsid w:val="20370353"/>
    <w:rsid w:val="20474C5B"/>
    <w:rsid w:val="205D447F"/>
    <w:rsid w:val="207B4905"/>
    <w:rsid w:val="20F07432"/>
    <w:rsid w:val="2136724D"/>
    <w:rsid w:val="214371F4"/>
    <w:rsid w:val="214474EF"/>
    <w:rsid w:val="21625308"/>
    <w:rsid w:val="21663408"/>
    <w:rsid w:val="21864056"/>
    <w:rsid w:val="21916ED9"/>
    <w:rsid w:val="21A25DC4"/>
    <w:rsid w:val="21B527DE"/>
    <w:rsid w:val="21E75E88"/>
    <w:rsid w:val="21FE4FAF"/>
    <w:rsid w:val="22486A69"/>
    <w:rsid w:val="226338A3"/>
    <w:rsid w:val="226B5F70"/>
    <w:rsid w:val="227776B2"/>
    <w:rsid w:val="22E03BBA"/>
    <w:rsid w:val="22E05E65"/>
    <w:rsid w:val="23330F5A"/>
    <w:rsid w:val="233A0AA7"/>
    <w:rsid w:val="234B6EA1"/>
    <w:rsid w:val="23553FCE"/>
    <w:rsid w:val="24241387"/>
    <w:rsid w:val="243F3E9B"/>
    <w:rsid w:val="24701082"/>
    <w:rsid w:val="24922E39"/>
    <w:rsid w:val="24B74530"/>
    <w:rsid w:val="24BE72A3"/>
    <w:rsid w:val="24D91964"/>
    <w:rsid w:val="24F9229C"/>
    <w:rsid w:val="24FF28BB"/>
    <w:rsid w:val="250C10D6"/>
    <w:rsid w:val="25103C45"/>
    <w:rsid w:val="25186BC6"/>
    <w:rsid w:val="253D487F"/>
    <w:rsid w:val="25413944"/>
    <w:rsid w:val="255078DB"/>
    <w:rsid w:val="25537BFE"/>
    <w:rsid w:val="25660416"/>
    <w:rsid w:val="257768C3"/>
    <w:rsid w:val="2583745E"/>
    <w:rsid w:val="259D45CC"/>
    <w:rsid w:val="25A26260"/>
    <w:rsid w:val="26111D82"/>
    <w:rsid w:val="264F486A"/>
    <w:rsid w:val="26630315"/>
    <w:rsid w:val="267000A3"/>
    <w:rsid w:val="26983290"/>
    <w:rsid w:val="269B0FAB"/>
    <w:rsid w:val="26B87682"/>
    <w:rsid w:val="26DD6558"/>
    <w:rsid w:val="26E06B97"/>
    <w:rsid w:val="26EE0F6E"/>
    <w:rsid w:val="27042C3A"/>
    <w:rsid w:val="27165388"/>
    <w:rsid w:val="272C21F3"/>
    <w:rsid w:val="273D05AF"/>
    <w:rsid w:val="27441A10"/>
    <w:rsid w:val="27A6495D"/>
    <w:rsid w:val="27F51899"/>
    <w:rsid w:val="27FD4BA0"/>
    <w:rsid w:val="280425A1"/>
    <w:rsid w:val="282B39E1"/>
    <w:rsid w:val="28300ECD"/>
    <w:rsid w:val="285965A1"/>
    <w:rsid w:val="28685E58"/>
    <w:rsid w:val="28B3315D"/>
    <w:rsid w:val="28B947AF"/>
    <w:rsid w:val="28EB6F3A"/>
    <w:rsid w:val="290751B4"/>
    <w:rsid w:val="29097D6B"/>
    <w:rsid w:val="29172DBC"/>
    <w:rsid w:val="29774D0D"/>
    <w:rsid w:val="297939AC"/>
    <w:rsid w:val="29EE6148"/>
    <w:rsid w:val="2A3C30FB"/>
    <w:rsid w:val="2A3C5105"/>
    <w:rsid w:val="2A4F5F55"/>
    <w:rsid w:val="2A7F2456"/>
    <w:rsid w:val="2A801147"/>
    <w:rsid w:val="2A9669CD"/>
    <w:rsid w:val="2A9E269F"/>
    <w:rsid w:val="2AA01F44"/>
    <w:rsid w:val="2AAB5DE7"/>
    <w:rsid w:val="2AD93D52"/>
    <w:rsid w:val="2AE0119A"/>
    <w:rsid w:val="2AE31A25"/>
    <w:rsid w:val="2B0F6376"/>
    <w:rsid w:val="2B2067D5"/>
    <w:rsid w:val="2B2C772A"/>
    <w:rsid w:val="2B5E4A9B"/>
    <w:rsid w:val="2B7164CC"/>
    <w:rsid w:val="2BB65EE6"/>
    <w:rsid w:val="2BCE4D6E"/>
    <w:rsid w:val="2BD92719"/>
    <w:rsid w:val="2BE45460"/>
    <w:rsid w:val="2BF12ADC"/>
    <w:rsid w:val="2C0B1233"/>
    <w:rsid w:val="2C1D25A1"/>
    <w:rsid w:val="2C372028"/>
    <w:rsid w:val="2C611433"/>
    <w:rsid w:val="2C7A7A8D"/>
    <w:rsid w:val="2C9702DC"/>
    <w:rsid w:val="2CB050EA"/>
    <w:rsid w:val="2CDF423F"/>
    <w:rsid w:val="2CEE4AB3"/>
    <w:rsid w:val="2D08102D"/>
    <w:rsid w:val="2D2F2CFF"/>
    <w:rsid w:val="2D524DEE"/>
    <w:rsid w:val="2D64259B"/>
    <w:rsid w:val="2D8950BC"/>
    <w:rsid w:val="2D9405AF"/>
    <w:rsid w:val="2DBB27E5"/>
    <w:rsid w:val="2DD60569"/>
    <w:rsid w:val="2DEB4AB1"/>
    <w:rsid w:val="2DEC1A74"/>
    <w:rsid w:val="2E143B0F"/>
    <w:rsid w:val="2E60513A"/>
    <w:rsid w:val="2E6F45ED"/>
    <w:rsid w:val="2E786928"/>
    <w:rsid w:val="2E8B4E9B"/>
    <w:rsid w:val="2EA166C1"/>
    <w:rsid w:val="2EAD08EF"/>
    <w:rsid w:val="2EC72052"/>
    <w:rsid w:val="2ECF360C"/>
    <w:rsid w:val="2EEC350B"/>
    <w:rsid w:val="2EF20805"/>
    <w:rsid w:val="2F1C3757"/>
    <w:rsid w:val="2F393D1C"/>
    <w:rsid w:val="2F4F34F7"/>
    <w:rsid w:val="2FB614B6"/>
    <w:rsid w:val="2FD27E35"/>
    <w:rsid w:val="300C557A"/>
    <w:rsid w:val="30136C5B"/>
    <w:rsid w:val="30291BA3"/>
    <w:rsid w:val="30332B06"/>
    <w:rsid w:val="303F6F81"/>
    <w:rsid w:val="304A6C70"/>
    <w:rsid w:val="30991CC7"/>
    <w:rsid w:val="30B30D96"/>
    <w:rsid w:val="30C45B1C"/>
    <w:rsid w:val="30CB71E3"/>
    <w:rsid w:val="310A7307"/>
    <w:rsid w:val="31362F76"/>
    <w:rsid w:val="318D6246"/>
    <w:rsid w:val="31980B93"/>
    <w:rsid w:val="31A97596"/>
    <w:rsid w:val="31B34BC4"/>
    <w:rsid w:val="31E83DC4"/>
    <w:rsid w:val="320D5349"/>
    <w:rsid w:val="326232A0"/>
    <w:rsid w:val="326A2A2B"/>
    <w:rsid w:val="327306FD"/>
    <w:rsid w:val="328624A5"/>
    <w:rsid w:val="32C24615"/>
    <w:rsid w:val="32D20AF4"/>
    <w:rsid w:val="32DF22A5"/>
    <w:rsid w:val="32EC1EA1"/>
    <w:rsid w:val="330E1357"/>
    <w:rsid w:val="3315507E"/>
    <w:rsid w:val="331B5F85"/>
    <w:rsid w:val="332350B4"/>
    <w:rsid w:val="33735405"/>
    <w:rsid w:val="338F274A"/>
    <w:rsid w:val="33A8074C"/>
    <w:rsid w:val="33C735A0"/>
    <w:rsid w:val="33DF11FD"/>
    <w:rsid w:val="33E86ECF"/>
    <w:rsid w:val="33F24A4C"/>
    <w:rsid w:val="3421153E"/>
    <w:rsid w:val="342124E6"/>
    <w:rsid w:val="34480C48"/>
    <w:rsid w:val="350B691C"/>
    <w:rsid w:val="35151992"/>
    <w:rsid w:val="355F3BF3"/>
    <w:rsid w:val="35BB0691"/>
    <w:rsid w:val="35C37DC3"/>
    <w:rsid w:val="35CE6E2D"/>
    <w:rsid w:val="35DA3A24"/>
    <w:rsid w:val="361E3091"/>
    <w:rsid w:val="363B7552"/>
    <w:rsid w:val="365C2077"/>
    <w:rsid w:val="368178E7"/>
    <w:rsid w:val="368A6D30"/>
    <w:rsid w:val="36965B9D"/>
    <w:rsid w:val="36BA1E1E"/>
    <w:rsid w:val="36BA3A89"/>
    <w:rsid w:val="36D12DAF"/>
    <w:rsid w:val="36D466C5"/>
    <w:rsid w:val="36FA437E"/>
    <w:rsid w:val="37031EB5"/>
    <w:rsid w:val="379D6311"/>
    <w:rsid w:val="37B02C8E"/>
    <w:rsid w:val="380A368A"/>
    <w:rsid w:val="381D6C87"/>
    <w:rsid w:val="38392C84"/>
    <w:rsid w:val="383A69FC"/>
    <w:rsid w:val="38633130"/>
    <w:rsid w:val="38740160"/>
    <w:rsid w:val="387B4294"/>
    <w:rsid w:val="388C7CC2"/>
    <w:rsid w:val="389A0431"/>
    <w:rsid w:val="38AA3ECF"/>
    <w:rsid w:val="38BD1B07"/>
    <w:rsid w:val="38CC58A6"/>
    <w:rsid w:val="38D42BB0"/>
    <w:rsid w:val="38D4425E"/>
    <w:rsid w:val="38FA1622"/>
    <w:rsid w:val="38FC1CB1"/>
    <w:rsid w:val="391138BB"/>
    <w:rsid w:val="396E3F94"/>
    <w:rsid w:val="39902D77"/>
    <w:rsid w:val="39AD58C4"/>
    <w:rsid w:val="39AE77D7"/>
    <w:rsid w:val="39AF7CB0"/>
    <w:rsid w:val="39B50A30"/>
    <w:rsid w:val="39C24E08"/>
    <w:rsid w:val="39C953D2"/>
    <w:rsid w:val="39E00C26"/>
    <w:rsid w:val="3A243E65"/>
    <w:rsid w:val="3A302F52"/>
    <w:rsid w:val="3A60099C"/>
    <w:rsid w:val="3A731C3E"/>
    <w:rsid w:val="3A804E6D"/>
    <w:rsid w:val="3A863F72"/>
    <w:rsid w:val="3A9935D7"/>
    <w:rsid w:val="3AEF3E7A"/>
    <w:rsid w:val="3AF50731"/>
    <w:rsid w:val="3B042005"/>
    <w:rsid w:val="3B145811"/>
    <w:rsid w:val="3B247C1B"/>
    <w:rsid w:val="3B2B51B8"/>
    <w:rsid w:val="3B3430C1"/>
    <w:rsid w:val="3B3B26B4"/>
    <w:rsid w:val="3B4C0F20"/>
    <w:rsid w:val="3B6F4C0F"/>
    <w:rsid w:val="3B7D150A"/>
    <w:rsid w:val="3B824942"/>
    <w:rsid w:val="3B90142B"/>
    <w:rsid w:val="3BCA0015"/>
    <w:rsid w:val="3BD10A0D"/>
    <w:rsid w:val="3C2E730F"/>
    <w:rsid w:val="3C3919B2"/>
    <w:rsid w:val="3C3E2F5F"/>
    <w:rsid w:val="3C4E68F2"/>
    <w:rsid w:val="3C5C33E5"/>
    <w:rsid w:val="3C784EC1"/>
    <w:rsid w:val="3C841D58"/>
    <w:rsid w:val="3C917532"/>
    <w:rsid w:val="3C9C30B9"/>
    <w:rsid w:val="3CEC4C01"/>
    <w:rsid w:val="3CF10D87"/>
    <w:rsid w:val="3D121CF5"/>
    <w:rsid w:val="3D387D18"/>
    <w:rsid w:val="3D3B124C"/>
    <w:rsid w:val="3D521C65"/>
    <w:rsid w:val="3D955418"/>
    <w:rsid w:val="3D9F66AB"/>
    <w:rsid w:val="3DC05072"/>
    <w:rsid w:val="3DC06494"/>
    <w:rsid w:val="3DD23377"/>
    <w:rsid w:val="3DD41F12"/>
    <w:rsid w:val="3DE82198"/>
    <w:rsid w:val="3E2B306F"/>
    <w:rsid w:val="3E3A1504"/>
    <w:rsid w:val="3E500D27"/>
    <w:rsid w:val="3E5E3444"/>
    <w:rsid w:val="3E61081F"/>
    <w:rsid w:val="3E6B3DB3"/>
    <w:rsid w:val="3E6D1292"/>
    <w:rsid w:val="3EC5585E"/>
    <w:rsid w:val="3F585471"/>
    <w:rsid w:val="3F6B3692"/>
    <w:rsid w:val="3F76693F"/>
    <w:rsid w:val="3F8E08E6"/>
    <w:rsid w:val="3F9556F7"/>
    <w:rsid w:val="3FB452E6"/>
    <w:rsid w:val="3FB83028"/>
    <w:rsid w:val="3FDC4CD2"/>
    <w:rsid w:val="40073668"/>
    <w:rsid w:val="40096745"/>
    <w:rsid w:val="40630396"/>
    <w:rsid w:val="406334F2"/>
    <w:rsid w:val="40795730"/>
    <w:rsid w:val="40A8055B"/>
    <w:rsid w:val="40B035B8"/>
    <w:rsid w:val="40C33A32"/>
    <w:rsid w:val="40C9364D"/>
    <w:rsid w:val="40CD2C3F"/>
    <w:rsid w:val="40D519B8"/>
    <w:rsid w:val="40FB141E"/>
    <w:rsid w:val="412A3AB2"/>
    <w:rsid w:val="41406D6F"/>
    <w:rsid w:val="414925C8"/>
    <w:rsid w:val="41656740"/>
    <w:rsid w:val="416E2BAD"/>
    <w:rsid w:val="4182744A"/>
    <w:rsid w:val="41836EE7"/>
    <w:rsid w:val="41AC1903"/>
    <w:rsid w:val="41AE45DE"/>
    <w:rsid w:val="41D57EC1"/>
    <w:rsid w:val="41E75EEC"/>
    <w:rsid w:val="41F12821"/>
    <w:rsid w:val="4212359F"/>
    <w:rsid w:val="42246753"/>
    <w:rsid w:val="4227217C"/>
    <w:rsid w:val="42310E70"/>
    <w:rsid w:val="42B5384F"/>
    <w:rsid w:val="42C534C0"/>
    <w:rsid w:val="42D07EC3"/>
    <w:rsid w:val="42E4705F"/>
    <w:rsid w:val="430640AA"/>
    <w:rsid w:val="430D5439"/>
    <w:rsid w:val="432804C5"/>
    <w:rsid w:val="43605CCC"/>
    <w:rsid w:val="43727CFB"/>
    <w:rsid w:val="43A833B4"/>
    <w:rsid w:val="43BA05EB"/>
    <w:rsid w:val="43D63A7D"/>
    <w:rsid w:val="43FB34E3"/>
    <w:rsid w:val="441F3347"/>
    <w:rsid w:val="44215FA9"/>
    <w:rsid w:val="44265E16"/>
    <w:rsid w:val="443C7F5F"/>
    <w:rsid w:val="445800AD"/>
    <w:rsid w:val="44627714"/>
    <w:rsid w:val="447A7A51"/>
    <w:rsid w:val="449228F7"/>
    <w:rsid w:val="449A71A0"/>
    <w:rsid w:val="44DC3315"/>
    <w:rsid w:val="44F06DC0"/>
    <w:rsid w:val="4505732B"/>
    <w:rsid w:val="451D3446"/>
    <w:rsid w:val="452C7897"/>
    <w:rsid w:val="45392D94"/>
    <w:rsid w:val="45935CF2"/>
    <w:rsid w:val="45AF27D7"/>
    <w:rsid w:val="45B1127B"/>
    <w:rsid w:val="45B63B66"/>
    <w:rsid w:val="45C77069"/>
    <w:rsid w:val="45EA254E"/>
    <w:rsid w:val="464C0EF1"/>
    <w:rsid w:val="4659434D"/>
    <w:rsid w:val="46715CDF"/>
    <w:rsid w:val="46B81B60"/>
    <w:rsid w:val="46CC2C55"/>
    <w:rsid w:val="46DF780A"/>
    <w:rsid w:val="46EA4614"/>
    <w:rsid w:val="472745EF"/>
    <w:rsid w:val="47321ED1"/>
    <w:rsid w:val="47613A8A"/>
    <w:rsid w:val="477E4B57"/>
    <w:rsid w:val="47B20490"/>
    <w:rsid w:val="47B34548"/>
    <w:rsid w:val="47B63BDE"/>
    <w:rsid w:val="47D33B20"/>
    <w:rsid w:val="47D615B5"/>
    <w:rsid w:val="47F234EA"/>
    <w:rsid w:val="47FA4363"/>
    <w:rsid w:val="48084421"/>
    <w:rsid w:val="486C49B0"/>
    <w:rsid w:val="48836411"/>
    <w:rsid w:val="4884619D"/>
    <w:rsid w:val="48CA6394"/>
    <w:rsid w:val="48CE566A"/>
    <w:rsid w:val="48D83181"/>
    <w:rsid w:val="48E052A8"/>
    <w:rsid w:val="491D2230"/>
    <w:rsid w:val="49416BFC"/>
    <w:rsid w:val="49551C16"/>
    <w:rsid w:val="497B7CB3"/>
    <w:rsid w:val="49830203"/>
    <w:rsid w:val="49845D29"/>
    <w:rsid w:val="49877552"/>
    <w:rsid w:val="49A50D02"/>
    <w:rsid w:val="49A632F3"/>
    <w:rsid w:val="49AD5280"/>
    <w:rsid w:val="49EB5DA8"/>
    <w:rsid w:val="4A0550BC"/>
    <w:rsid w:val="4A4F27DB"/>
    <w:rsid w:val="4AAE0F5E"/>
    <w:rsid w:val="4ABC7A01"/>
    <w:rsid w:val="4ABF170F"/>
    <w:rsid w:val="4AC960E9"/>
    <w:rsid w:val="4B08619A"/>
    <w:rsid w:val="4B2D12E0"/>
    <w:rsid w:val="4B413C02"/>
    <w:rsid w:val="4B466488"/>
    <w:rsid w:val="4B971D44"/>
    <w:rsid w:val="4BA45DF7"/>
    <w:rsid w:val="4BA51A78"/>
    <w:rsid w:val="4BEA27BB"/>
    <w:rsid w:val="4BEB6B31"/>
    <w:rsid w:val="4BEF537B"/>
    <w:rsid w:val="4C143C11"/>
    <w:rsid w:val="4C3F60ED"/>
    <w:rsid w:val="4C6F5AD6"/>
    <w:rsid w:val="4C8147A2"/>
    <w:rsid w:val="4C9B3AB5"/>
    <w:rsid w:val="4CAB64B4"/>
    <w:rsid w:val="4CB46925"/>
    <w:rsid w:val="4CCE79E7"/>
    <w:rsid w:val="4CEF795D"/>
    <w:rsid w:val="4D720CBA"/>
    <w:rsid w:val="4D834C75"/>
    <w:rsid w:val="4D94024E"/>
    <w:rsid w:val="4D987FF5"/>
    <w:rsid w:val="4DB52955"/>
    <w:rsid w:val="4DD36371"/>
    <w:rsid w:val="4E2B70BB"/>
    <w:rsid w:val="4E4361B3"/>
    <w:rsid w:val="4E4D40AD"/>
    <w:rsid w:val="4E790592"/>
    <w:rsid w:val="4E8A47E6"/>
    <w:rsid w:val="4E8C5DAC"/>
    <w:rsid w:val="4E8C71ED"/>
    <w:rsid w:val="4E9B7D9D"/>
    <w:rsid w:val="4EAD7AD0"/>
    <w:rsid w:val="4ECA0682"/>
    <w:rsid w:val="4ECB44BE"/>
    <w:rsid w:val="4EF0117A"/>
    <w:rsid w:val="4F067826"/>
    <w:rsid w:val="4F38383D"/>
    <w:rsid w:val="4F677DA3"/>
    <w:rsid w:val="4FBE2271"/>
    <w:rsid w:val="4FC74A7D"/>
    <w:rsid w:val="4FD00DE6"/>
    <w:rsid w:val="4FDA0F8D"/>
    <w:rsid w:val="502C7FBC"/>
    <w:rsid w:val="503000EC"/>
    <w:rsid w:val="503A3817"/>
    <w:rsid w:val="50540821"/>
    <w:rsid w:val="5054476F"/>
    <w:rsid w:val="5057504E"/>
    <w:rsid w:val="50827D7F"/>
    <w:rsid w:val="508E5E86"/>
    <w:rsid w:val="50982285"/>
    <w:rsid w:val="50A77EFE"/>
    <w:rsid w:val="50BF48B5"/>
    <w:rsid w:val="51235989"/>
    <w:rsid w:val="512D0135"/>
    <w:rsid w:val="514E7348"/>
    <w:rsid w:val="51D672B6"/>
    <w:rsid w:val="51E227F8"/>
    <w:rsid w:val="51E657D3"/>
    <w:rsid w:val="51E942BF"/>
    <w:rsid w:val="51F872B4"/>
    <w:rsid w:val="51FB3E14"/>
    <w:rsid w:val="51FF137E"/>
    <w:rsid w:val="52071443"/>
    <w:rsid w:val="52230813"/>
    <w:rsid w:val="5224663F"/>
    <w:rsid w:val="522B4FC6"/>
    <w:rsid w:val="523173E9"/>
    <w:rsid w:val="52483D01"/>
    <w:rsid w:val="524A595D"/>
    <w:rsid w:val="525B1764"/>
    <w:rsid w:val="525D3808"/>
    <w:rsid w:val="525E7A5F"/>
    <w:rsid w:val="528C5FF0"/>
    <w:rsid w:val="52D27B05"/>
    <w:rsid w:val="52D92ACB"/>
    <w:rsid w:val="5346672E"/>
    <w:rsid w:val="537E350E"/>
    <w:rsid w:val="538C61BD"/>
    <w:rsid w:val="53A63785"/>
    <w:rsid w:val="53B4776F"/>
    <w:rsid w:val="53BA0CC5"/>
    <w:rsid w:val="53D926F3"/>
    <w:rsid w:val="541157C3"/>
    <w:rsid w:val="541A71CC"/>
    <w:rsid w:val="542A709D"/>
    <w:rsid w:val="54534C76"/>
    <w:rsid w:val="548255D6"/>
    <w:rsid w:val="54A43723"/>
    <w:rsid w:val="54AD0607"/>
    <w:rsid w:val="54D00C3F"/>
    <w:rsid w:val="551B5793"/>
    <w:rsid w:val="55216B22"/>
    <w:rsid w:val="55274C7B"/>
    <w:rsid w:val="555649EC"/>
    <w:rsid w:val="556A3D47"/>
    <w:rsid w:val="557E1660"/>
    <w:rsid w:val="559B0682"/>
    <w:rsid w:val="55A7171D"/>
    <w:rsid w:val="55B55BE8"/>
    <w:rsid w:val="561F610A"/>
    <w:rsid w:val="5637484F"/>
    <w:rsid w:val="56614C60"/>
    <w:rsid w:val="56C41FFC"/>
    <w:rsid w:val="56F6480F"/>
    <w:rsid w:val="56FC15F5"/>
    <w:rsid w:val="57087F99"/>
    <w:rsid w:val="57176FEB"/>
    <w:rsid w:val="5718669A"/>
    <w:rsid w:val="574B4F73"/>
    <w:rsid w:val="57521214"/>
    <w:rsid w:val="576143E1"/>
    <w:rsid w:val="57AE72A5"/>
    <w:rsid w:val="57D95F1F"/>
    <w:rsid w:val="57E77592"/>
    <w:rsid w:val="58112195"/>
    <w:rsid w:val="581B0D32"/>
    <w:rsid w:val="58216F0B"/>
    <w:rsid w:val="584B11CD"/>
    <w:rsid w:val="586048F0"/>
    <w:rsid w:val="58951D01"/>
    <w:rsid w:val="59751C65"/>
    <w:rsid w:val="598C5A03"/>
    <w:rsid w:val="599211F9"/>
    <w:rsid w:val="59965D30"/>
    <w:rsid w:val="599C6A5E"/>
    <w:rsid w:val="5A5F2D06"/>
    <w:rsid w:val="5A9C7376"/>
    <w:rsid w:val="5AA075D5"/>
    <w:rsid w:val="5AAC3332"/>
    <w:rsid w:val="5ADE2A67"/>
    <w:rsid w:val="5AED6D33"/>
    <w:rsid w:val="5AFC4E9F"/>
    <w:rsid w:val="5AFE1DDF"/>
    <w:rsid w:val="5B18551E"/>
    <w:rsid w:val="5B551512"/>
    <w:rsid w:val="5B5F2152"/>
    <w:rsid w:val="5B8B59E3"/>
    <w:rsid w:val="5B9F0927"/>
    <w:rsid w:val="5BAA0C46"/>
    <w:rsid w:val="5BBB1A7E"/>
    <w:rsid w:val="5BE44E34"/>
    <w:rsid w:val="5BE66F57"/>
    <w:rsid w:val="5BF1724E"/>
    <w:rsid w:val="5C0276AD"/>
    <w:rsid w:val="5C1E5B4F"/>
    <w:rsid w:val="5C34538D"/>
    <w:rsid w:val="5C5B2DD4"/>
    <w:rsid w:val="5C6A5252"/>
    <w:rsid w:val="5CA0080E"/>
    <w:rsid w:val="5CA67F0E"/>
    <w:rsid w:val="5CB70DE5"/>
    <w:rsid w:val="5CCE7744"/>
    <w:rsid w:val="5CD65A6D"/>
    <w:rsid w:val="5CD92B33"/>
    <w:rsid w:val="5CE045A0"/>
    <w:rsid w:val="5CF35A61"/>
    <w:rsid w:val="5D270A6A"/>
    <w:rsid w:val="5D296EBB"/>
    <w:rsid w:val="5D431D2B"/>
    <w:rsid w:val="5D446E72"/>
    <w:rsid w:val="5D5E4DB7"/>
    <w:rsid w:val="5D6567A1"/>
    <w:rsid w:val="5D7E2D63"/>
    <w:rsid w:val="5DEA21A7"/>
    <w:rsid w:val="5DED613B"/>
    <w:rsid w:val="5E1345A6"/>
    <w:rsid w:val="5E145476"/>
    <w:rsid w:val="5E2603C6"/>
    <w:rsid w:val="5E6C38A7"/>
    <w:rsid w:val="5EA7453C"/>
    <w:rsid w:val="5EBB0DA4"/>
    <w:rsid w:val="5ECB6E94"/>
    <w:rsid w:val="5ED35331"/>
    <w:rsid w:val="5ED846F5"/>
    <w:rsid w:val="5EED4009"/>
    <w:rsid w:val="5F021772"/>
    <w:rsid w:val="5F30722F"/>
    <w:rsid w:val="5F3C4C84"/>
    <w:rsid w:val="5F3F29C6"/>
    <w:rsid w:val="5F5D7242"/>
    <w:rsid w:val="5F7801DD"/>
    <w:rsid w:val="5F912710"/>
    <w:rsid w:val="5F93061C"/>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C77EB"/>
    <w:rsid w:val="607644CB"/>
    <w:rsid w:val="60927062"/>
    <w:rsid w:val="60CC2038"/>
    <w:rsid w:val="60E47C7F"/>
    <w:rsid w:val="610F3942"/>
    <w:rsid w:val="6110461A"/>
    <w:rsid w:val="613C73A3"/>
    <w:rsid w:val="61601F4C"/>
    <w:rsid w:val="6175423B"/>
    <w:rsid w:val="617C2BE7"/>
    <w:rsid w:val="61C6117D"/>
    <w:rsid w:val="61E82848"/>
    <w:rsid w:val="61F3275E"/>
    <w:rsid w:val="620123FA"/>
    <w:rsid w:val="62055A75"/>
    <w:rsid w:val="62136241"/>
    <w:rsid w:val="62477005"/>
    <w:rsid w:val="62751389"/>
    <w:rsid w:val="62C90F25"/>
    <w:rsid w:val="62DB0C58"/>
    <w:rsid w:val="62E832BC"/>
    <w:rsid w:val="62EC6826"/>
    <w:rsid w:val="634D7596"/>
    <w:rsid w:val="63536A40"/>
    <w:rsid w:val="63586547"/>
    <w:rsid w:val="635B0B72"/>
    <w:rsid w:val="63757946"/>
    <w:rsid w:val="63892462"/>
    <w:rsid w:val="63B75342"/>
    <w:rsid w:val="63D519FA"/>
    <w:rsid w:val="63E85179"/>
    <w:rsid w:val="644A7E43"/>
    <w:rsid w:val="6462603B"/>
    <w:rsid w:val="64A84B6A"/>
    <w:rsid w:val="64CE37B2"/>
    <w:rsid w:val="64D22CE6"/>
    <w:rsid w:val="65254D57"/>
    <w:rsid w:val="654C3747"/>
    <w:rsid w:val="656C3DE9"/>
    <w:rsid w:val="659A2704"/>
    <w:rsid w:val="65B01973"/>
    <w:rsid w:val="65F14FDB"/>
    <w:rsid w:val="660B4B1B"/>
    <w:rsid w:val="665772A7"/>
    <w:rsid w:val="668A075D"/>
    <w:rsid w:val="668E15B5"/>
    <w:rsid w:val="66901C8E"/>
    <w:rsid w:val="66A80E51"/>
    <w:rsid w:val="66D73C13"/>
    <w:rsid w:val="67037D22"/>
    <w:rsid w:val="672662CA"/>
    <w:rsid w:val="67310E46"/>
    <w:rsid w:val="673213DD"/>
    <w:rsid w:val="676924E6"/>
    <w:rsid w:val="67B6134C"/>
    <w:rsid w:val="67E57255"/>
    <w:rsid w:val="6828189F"/>
    <w:rsid w:val="683F7F8F"/>
    <w:rsid w:val="684E77D6"/>
    <w:rsid w:val="68503C5F"/>
    <w:rsid w:val="685A261F"/>
    <w:rsid w:val="685C7FAA"/>
    <w:rsid w:val="686A6FFD"/>
    <w:rsid w:val="68923B67"/>
    <w:rsid w:val="68D909BE"/>
    <w:rsid w:val="69055E04"/>
    <w:rsid w:val="6910780F"/>
    <w:rsid w:val="69126A56"/>
    <w:rsid w:val="69387C83"/>
    <w:rsid w:val="693A6327"/>
    <w:rsid w:val="696C6547"/>
    <w:rsid w:val="69875CFA"/>
    <w:rsid w:val="699A4104"/>
    <w:rsid w:val="699D1FE1"/>
    <w:rsid w:val="69B845BD"/>
    <w:rsid w:val="69DD2ECD"/>
    <w:rsid w:val="69EE4513"/>
    <w:rsid w:val="6A0127E8"/>
    <w:rsid w:val="6A0E36C1"/>
    <w:rsid w:val="6A1916CD"/>
    <w:rsid w:val="6A2E78BF"/>
    <w:rsid w:val="6A3D33AB"/>
    <w:rsid w:val="6A3F78B1"/>
    <w:rsid w:val="6A641F0D"/>
    <w:rsid w:val="6A8219BA"/>
    <w:rsid w:val="6A8804BD"/>
    <w:rsid w:val="6ABA73A5"/>
    <w:rsid w:val="6ADA6B38"/>
    <w:rsid w:val="6AEF725B"/>
    <w:rsid w:val="6B204C86"/>
    <w:rsid w:val="6B506FBE"/>
    <w:rsid w:val="6B8E4AB9"/>
    <w:rsid w:val="6B9C07B8"/>
    <w:rsid w:val="6BB97725"/>
    <w:rsid w:val="6BCE61E8"/>
    <w:rsid w:val="6BDFAB0A"/>
    <w:rsid w:val="6BFC4233"/>
    <w:rsid w:val="6C0134DD"/>
    <w:rsid w:val="6C25467B"/>
    <w:rsid w:val="6C3A3E6E"/>
    <w:rsid w:val="6C703B94"/>
    <w:rsid w:val="6C996646"/>
    <w:rsid w:val="6C9F3448"/>
    <w:rsid w:val="6CB22A29"/>
    <w:rsid w:val="6CB71DEE"/>
    <w:rsid w:val="6CC45FBE"/>
    <w:rsid w:val="6CF03552"/>
    <w:rsid w:val="6D0232BB"/>
    <w:rsid w:val="6D5939A1"/>
    <w:rsid w:val="6D6A3304"/>
    <w:rsid w:val="6D8819DC"/>
    <w:rsid w:val="6DB36A59"/>
    <w:rsid w:val="6DD14E76"/>
    <w:rsid w:val="6DDE3F28"/>
    <w:rsid w:val="6DF20BCA"/>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7054D"/>
    <w:rsid w:val="6FE969BF"/>
    <w:rsid w:val="6FEF189F"/>
    <w:rsid w:val="702B1E5E"/>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477770"/>
    <w:rsid w:val="72936E59"/>
    <w:rsid w:val="72C35869"/>
    <w:rsid w:val="7316586B"/>
    <w:rsid w:val="73280758"/>
    <w:rsid w:val="73487C44"/>
    <w:rsid w:val="73AD3F4B"/>
    <w:rsid w:val="73C31078"/>
    <w:rsid w:val="73D149EF"/>
    <w:rsid w:val="73F21394"/>
    <w:rsid w:val="73F6235F"/>
    <w:rsid w:val="746551E1"/>
    <w:rsid w:val="74817FF6"/>
    <w:rsid w:val="74AC4202"/>
    <w:rsid w:val="74C41977"/>
    <w:rsid w:val="74D01616"/>
    <w:rsid w:val="74D70DF7"/>
    <w:rsid w:val="74DE4FB2"/>
    <w:rsid w:val="74EB3FA6"/>
    <w:rsid w:val="74EE0377"/>
    <w:rsid w:val="750C56AD"/>
    <w:rsid w:val="75404111"/>
    <w:rsid w:val="75840CDB"/>
    <w:rsid w:val="75C61BD7"/>
    <w:rsid w:val="75CA7AAF"/>
    <w:rsid w:val="75CF2BD1"/>
    <w:rsid w:val="75D86EA0"/>
    <w:rsid w:val="75DC6B59"/>
    <w:rsid w:val="7610256F"/>
    <w:rsid w:val="762A20B4"/>
    <w:rsid w:val="76C24506"/>
    <w:rsid w:val="76ED5EB6"/>
    <w:rsid w:val="771C36BA"/>
    <w:rsid w:val="773FE678"/>
    <w:rsid w:val="77444D05"/>
    <w:rsid w:val="774A3F76"/>
    <w:rsid w:val="77B51620"/>
    <w:rsid w:val="77F47C37"/>
    <w:rsid w:val="78072C51"/>
    <w:rsid w:val="780F3479"/>
    <w:rsid w:val="78300CA6"/>
    <w:rsid w:val="78322C70"/>
    <w:rsid w:val="7860333A"/>
    <w:rsid w:val="788D31FB"/>
    <w:rsid w:val="789A5C0B"/>
    <w:rsid w:val="789F3DA6"/>
    <w:rsid w:val="78A52377"/>
    <w:rsid w:val="78A720A7"/>
    <w:rsid w:val="78BA30FC"/>
    <w:rsid w:val="78ED276C"/>
    <w:rsid w:val="78FB35DD"/>
    <w:rsid w:val="791B2483"/>
    <w:rsid w:val="7929584B"/>
    <w:rsid w:val="793A57D7"/>
    <w:rsid w:val="79492020"/>
    <w:rsid w:val="795F5CE7"/>
    <w:rsid w:val="7963154D"/>
    <w:rsid w:val="79AA4693"/>
    <w:rsid w:val="79D030E6"/>
    <w:rsid w:val="79FF1772"/>
    <w:rsid w:val="7A08012D"/>
    <w:rsid w:val="7A947711"/>
    <w:rsid w:val="7AA250E3"/>
    <w:rsid w:val="7AF37FDD"/>
    <w:rsid w:val="7B5B7497"/>
    <w:rsid w:val="7B7B05F3"/>
    <w:rsid w:val="7BF070CA"/>
    <w:rsid w:val="7C112AF8"/>
    <w:rsid w:val="7C184FB7"/>
    <w:rsid w:val="7C3D78E2"/>
    <w:rsid w:val="7C653AB3"/>
    <w:rsid w:val="7C7F3FAA"/>
    <w:rsid w:val="7C832CED"/>
    <w:rsid w:val="7C8F459A"/>
    <w:rsid w:val="7C910466"/>
    <w:rsid w:val="7C97D028"/>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F764EE"/>
    <w:rsid w:val="7E155919"/>
    <w:rsid w:val="7E192908"/>
    <w:rsid w:val="7E4378B3"/>
    <w:rsid w:val="7E4876F1"/>
    <w:rsid w:val="7E4F56A7"/>
    <w:rsid w:val="7E5D029C"/>
    <w:rsid w:val="7E713B7F"/>
    <w:rsid w:val="7EB20667"/>
    <w:rsid w:val="7EC81C39"/>
    <w:rsid w:val="7ECD54A1"/>
    <w:rsid w:val="7F0C4C8F"/>
    <w:rsid w:val="7F27742A"/>
    <w:rsid w:val="7F382028"/>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8"/>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9"/>
    <w:qFormat/>
    <w:uiPriority w:val="0"/>
    <w:pPr>
      <w:keepNext/>
      <w:keepLines/>
      <w:spacing w:before="260" w:after="260" w:line="413" w:lineRule="auto"/>
      <w:outlineLvl w:val="2"/>
    </w:pPr>
    <w:rPr>
      <w:b/>
      <w:sz w:val="32"/>
    </w:rPr>
  </w:style>
  <w:style w:type="paragraph" w:styleId="2">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7"/>
    <w:qFormat/>
    <w:uiPriority w:val="0"/>
  </w:style>
  <w:style w:type="paragraph" w:styleId="33">
    <w:name w:val="Body Text Indent 2"/>
    <w:basedOn w:val="34"/>
    <w:link w:val="88"/>
    <w:qFormat/>
    <w:uiPriority w:val="0"/>
    <w:pPr>
      <w:snapToGrid w:val="0"/>
      <w:spacing w:line="560" w:lineRule="atLeast"/>
      <w:ind w:firstLine="540"/>
    </w:pPr>
  </w:style>
  <w:style w:type="paragraph" w:customStyle="1" w:styleId="34">
    <w:name w:val="正文1"/>
    <w:basedOn w:val="1"/>
    <w:next w:val="1"/>
    <w:qFormat/>
    <w:uiPriority w:val="0"/>
    <w:pPr>
      <w:spacing w:line="300" w:lineRule="auto"/>
      <w:ind w:firstLine="200" w:firstLineChars="200"/>
    </w:pPr>
    <w:rPr>
      <w:sz w:val="24"/>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eastAsia="宋体" w:cs="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19"/>
    <w:next w:val="19"/>
    <w:link w:val="90"/>
    <w:qFormat/>
    <w:uiPriority w:val="0"/>
    <w:pPr>
      <w:adjustRightInd/>
      <w:spacing w:line="240" w:lineRule="auto"/>
    </w:pPr>
  </w:style>
  <w:style w:type="paragraph" w:styleId="58">
    <w:name w:val="Body Text First Indent"/>
    <w:basedOn w:val="22"/>
    <w:qFormat/>
    <w:uiPriority w:val="0"/>
    <w:pPr>
      <w:spacing w:line="360" w:lineRule="auto"/>
      <w:ind w:firstLine="420"/>
    </w:pPr>
    <w:rPr>
      <w:rFonts w:ascii="宋体" w:hAnsi="宋体"/>
      <w:sz w:val="24"/>
    </w:rPr>
  </w:style>
  <w:style w:type="paragraph" w:styleId="59">
    <w:name w:val="Body Text First Indent 2"/>
    <w:basedOn w:val="23"/>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character" w:customStyle="1" w:styleId="78">
    <w:name w:val="标题 2 Char"/>
    <w:link w:val="4"/>
    <w:qFormat/>
    <w:uiPriority w:val="0"/>
    <w:rPr>
      <w:rFonts w:ascii="Arial" w:hAnsi="Arial" w:eastAsia="黑体"/>
      <w:b/>
      <w:kern w:val="2"/>
      <w:sz w:val="32"/>
    </w:rPr>
  </w:style>
  <w:style w:type="character" w:customStyle="1" w:styleId="79">
    <w:name w:val="标题 3 Char"/>
    <w:link w:val="5"/>
    <w:qFormat/>
    <w:uiPriority w:val="0"/>
    <w:rPr>
      <w:rFonts w:eastAsia="宋体"/>
      <w:b/>
      <w:kern w:val="2"/>
      <w:sz w:val="32"/>
      <w:lang w:val="en-US" w:eastAsia="zh-CN"/>
    </w:rPr>
  </w:style>
  <w:style w:type="paragraph" w:customStyle="1" w:styleId="80">
    <w:name w:val="BodyText"/>
    <w:basedOn w:val="1"/>
    <w:next w:val="81"/>
    <w:qFormat/>
    <w:uiPriority w:val="0"/>
    <w:pPr>
      <w:textAlignment w:val="baseline"/>
    </w:pPr>
    <w:rPr>
      <w:rFonts w:ascii="仿宋_GB2312" w:eastAsia="仿宋_GB2312"/>
      <w:sz w:val="32"/>
    </w:rPr>
  </w:style>
  <w:style w:type="paragraph" w:customStyle="1" w:styleId="81">
    <w:name w:val="BodyTextIndent"/>
    <w:basedOn w:val="1"/>
    <w:qFormat/>
    <w:uiPriority w:val="0"/>
    <w:pPr>
      <w:spacing w:line="700" w:lineRule="exact"/>
      <w:ind w:left="960"/>
      <w:textAlignment w:val="baseline"/>
    </w:pPr>
    <w:rPr>
      <w:sz w:val="44"/>
    </w:rPr>
  </w:style>
  <w:style w:type="paragraph" w:customStyle="1" w:styleId="8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3">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4">
    <w:name w:val="标书正文1"/>
    <w:basedOn w:val="1"/>
    <w:qFormat/>
    <w:uiPriority w:val="0"/>
    <w:pPr>
      <w:spacing w:line="520" w:lineRule="exact"/>
      <w:ind w:firstLine="640" w:firstLineChars="200"/>
    </w:pPr>
  </w:style>
  <w:style w:type="character" w:customStyle="1" w:styleId="85">
    <w:name w:val="批注文字 Char"/>
    <w:link w:val="19"/>
    <w:qFormat/>
    <w:uiPriority w:val="0"/>
    <w:rPr>
      <w:sz w:val="24"/>
    </w:rPr>
  </w:style>
  <w:style w:type="character" w:customStyle="1" w:styleId="86">
    <w:name w:val="正文文本缩进 Char"/>
    <w:link w:val="23"/>
    <w:qFormat/>
    <w:uiPriority w:val="0"/>
    <w:rPr>
      <w:kern w:val="2"/>
      <w:sz w:val="44"/>
    </w:rPr>
  </w:style>
  <w:style w:type="character" w:customStyle="1" w:styleId="87">
    <w:name w:val="日期 Char"/>
    <w:link w:val="32"/>
    <w:qFormat/>
    <w:uiPriority w:val="0"/>
    <w:rPr>
      <w:kern w:val="2"/>
      <w:sz w:val="28"/>
    </w:rPr>
  </w:style>
  <w:style w:type="character" w:customStyle="1" w:styleId="88">
    <w:name w:val="正文文本缩进 2 Char"/>
    <w:link w:val="33"/>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2"/>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2"/>
    <w:qFormat/>
    <w:uiPriority w:val="0"/>
    <w:pPr>
      <w:numPr>
        <w:ilvl w:val="0"/>
        <w:numId w:val="6"/>
      </w:numPr>
      <w:spacing w:before="560" w:line="400" w:lineRule="exact"/>
      <w:jc w:val="center"/>
      <w:outlineLvl w:val="0"/>
    </w:pPr>
    <w:rPr>
      <w:b w:val="0"/>
      <w:sz w:val="44"/>
    </w:rPr>
  </w:style>
  <w:style w:type="paragraph" w:customStyle="1" w:styleId="154">
    <w:name w:val="内容标题"/>
    <w:basedOn w:val="17"/>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0"/>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7"/>
    <w:qFormat/>
    <w:uiPriority w:val="0"/>
    <w:rPr>
      <w:rFonts w:ascii="宋体" w:hAnsi="Tahoma"/>
    </w:rPr>
  </w:style>
  <w:style w:type="paragraph" w:customStyle="1" w:styleId="160">
    <w:name w:val="样式 标题 6第五层条 + 三号 段前: 0.5 行"/>
    <w:basedOn w:val="7"/>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3"/>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2"/>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5"/>
    <w:qFormat/>
    <w:uiPriority w:val="0"/>
    <w:pPr>
      <w:numPr>
        <w:ilvl w:val="2"/>
        <w:numId w:val="9"/>
      </w:numPr>
      <w:tabs>
        <w:tab w:val="left" w:pos="709"/>
        <w:tab w:val="left" w:pos="1620"/>
      </w:tabs>
    </w:pPr>
  </w:style>
  <w:style w:type="paragraph" w:customStyle="1" w:styleId="188">
    <w:name w:val="样式4"/>
    <w:basedOn w:val="2"/>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2"/>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0"/>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4"/>
    <w:next w:val="34"/>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12537</Words>
  <Characters>13555</Characters>
  <Lines>120</Lines>
  <Paragraphs>34</Paragraphs>
  <TotalTime>10</TotalTime>
  <ScaleCrop>false</ScaleCrop>
  <LinksUpToDate>false</LinksUpToDate>
  <CharactersWithSpaces>14679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YBY</cp:lastModifiedBy>
  <cp:lastPrinted>2024-10-25T00:54:00Z</cp:lastPrinted>
  <dcterms:modified xsi:type="dcterms:W3CDTF">2025-07-21T01:14:06Z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CF7F86C3C0BF4B06A52C4C6BCEE84934</vt:lpwstr>
  </property>
  <property fmtid="{D5CDD505-2E9C-101B-9397-08002B2CF9AE}" pid="4" name="KSOTemplateDocerSaveRecord">
    <vt:lpwstr>eyJoZGlkIjoiOGMyZjdjMjA5Yzk2MGFmOWVlNTA5MTc1OGFiMzQwMzAiLCJ1c2VySWQiOiI1MDU5MTA3NDEifQ==</vt:lpwstr>
  </property>
</Properties>
</file>