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 </w:t>
      </w:r>
    </w:p>
    <w:p>
      <w:pPr>
        <w:shd w:val="clear"/>
        <w:jc w:val="left"/>
        <w:rPr>
          <w:rFonts w:hint="eastAsia" w:asciiTheme="minorEastAsia" w:hAnsiTheme="minorEastAsia" w:eastAsiaTheme="minorEastAsia" w:cstheme="minorEastAsia"/>
          <w:color w:val="auto"/>
          <w:highlight w:val="none"/>
        </w:rPr>
      </w:pPr>
    </w:p>
    <w:p>
      <w:pPr>
        <w:shd w:val="clear"/>
        <w:jc w:val="left"/>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highlight w:val="none"/>
        </w:rPr>
      </w:pPr>
    </w:p>
    <w:p>
      <w:pPr>
        <w:shd w:val="clea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84"/>
          <w:szCs w:val="84"/>
          <w:highlight w:val="none"/>
        </w:rPr>
        <w:t>竞争性比选文件</w:t>
      </w:r>
    </w:p>
    <w:p>
      <w:pPr>
        <w:shd w:val="clear"/>
        <w:spacing w:line="700" w:lineRule="exact"/>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32"/>
          <w:szCs w:val="32"/>
          <w:highlight w:val="none"/>
        </w:rPr>
        <w:t>（综合评分法）</w:t>
      </w:r>
    </w:p>
    <w:p>
      <w:pPr>
        <w:shd w:val="clear"/>
        <w:spacing w:line="700" w:lineRule="exact"/>
        <w:rPr>
          <w:rFonts w:hint="eastAsia" w:asciiTheme="minorEastAsia" w:hAnsiTheme="minorEastAsia" w:eastAsiaTheme="minorEastAsia" w:cstheme="minorEastAsia"/>
          <w:color w:val="auto"/>
          <w:sz w:val="32"/>
          <w:highlight w:val="none"/>
        </w:rPr>
      </w:pPr>
    </w:p>
    <w:p>
      <w:pPr>
        <w:shd w:val="clear"/>
        <w:rPr>
          <w:rFonts w:hint="eastAsia" w:asciiTheme="minorEastAsia" w:hAnsiTheme="minorEastAsia" w:eastAsiaTheme="minorEastAsia" w:cstheme="minorEastAsia"/>
          <w:color w:val="auto"/>
          <w:highlight w:val="none"/>
        </w:rPr>
      </w:pPr>
    </w:p>
    <w:p>
      <w:pPr>
        <w:shd w:val="clear"/>
        <w:spacing w:line="700" w:lineRule="exact"/>
        <w:rPr>
          <w:rFonts w:hint="eastAsia" w:asciiTheme="minorEastAsia" w:hAnsiTheme="minorEastAsia" w:eastAsiaTheme="minorEastAsia" w:cstheme="minorEastAsia"/>
          <w:color w:val="auto"/>
          <w:sz w:val="32"/>
          <w:highlight w:val="none"/>
        </w:rPr>
      </w:pPr>
    </w:p>
    <w:p>
      <w:pPr>
        <w:pStyle w:val="2"/>
        <w:shd w:val="clear"/>
        <w:rPr>
          <w:rFonts w:hint="eastAsia" w:asciiTheme="minorEastAsia" w:hAnsiTheme="minorEastAsia" w:eastAsiaTheme="minorEastAsia" w:cstheme="minorEastAsia"/>
          <w:color w:val="auto"/>
          <w:highlight w:val="none"/>
        </w:rPr>
      </w:pPr>
    </w:p>
    <w:p>
      <w:pPr>
        <w:shd w:val="clear"/>
        <w:spacing w:line="500" w:lineRule="exact"/>
        <w:ind w:firstLine="960" w:firstLineChars="300"/>
        <w:outlineLvl w:val="0"/>
        <w:rPr>
          <w:rFonts w:hint="default"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32"/>
          <w:szCs w:val="32"/>
          <w:highlight w:val="none"/>
          <w:lang w:val="en-US" w:eastAsia="zh-CN" w:bidi="ar-SA"/>
        </w:rPr>
        <w:t>项目编号：HC-CQZC-2025招字046</w:t>
      </w:r>
    </w:p>
    <w:p>
      <w:pPr>
        <w:pStyle w:val="2"/>
        <w:shd w:val="clear"/>
        <w:ind w:firstLine="960" w:firstLineChars="300"/>
        <w:rPr>
          <w:rFonts w:hint="eastAsia" w:asciiTheme="minorEastAsia" w:hAnsiTheme="minorEastAsia" w:eastAsiaTheme="minorEastAsia" w:cstheme="minorEastAsia"/>
          <w:color w:val="auto"/>
          <w:sz w:val="32"/>
          <w:szCs w:val="32"/>
          <w:highlight w:val="none"/>
          <w:shd w:val="clear"/>
        </w:rPr>
      </w:pPr>
      <w:r>
        <w:rPr>
          <w:rFonts w:hint="eastAsia" w:asciiTheme="minorEastAsia" w:hAnsiTheme="minorEastAsia" w:eastAsiaTheme="minorEastAsia" w:cstheme="minorEastAsia"/>
          <w:color w:val="auto"/>
          <w:kern w:val="2"/>
          <w:sz w:val="32"/>
          <w:szCs w:val="32"/>
          <w:highlight w:val="none"/>
          <w:lang w:val="en-US" w:eastAsia="zh-CN" w:bidi="ar-SA"/>
        </w:rPr>
        <w:t>项目名称：</w:t>
      </w:r>
      <w:r>
        <w:rPr>
          <w:rFonts w:hint="eastAsia" w:asciiTheme="minorEastAsia" w:hAnsiTheme="minorEastAsia" w:eastAsiaTheme="minorEastAsia" w:cstheme="minorEastAsia"/>
          <w:color w:val="auto"/>
          <w:kern w:val="2"/>
          <w:sz w:val="32"/>
          <w:szCs w:val="32"/>
          <w:highlight w:val="none"/>
          <w:shd w:val="clear"/>
          <w:lang w:val="en-US" w:eastAsia="zh-CN" w:bidi="ar-SA"/>
        </w:rPr>
        <w:t>重庆园博园自助行李寄存柜</w:t>
      </w:r>
    </w:p>
    <w:p>
      <w:pPr>
        <w:shd w:val="clear"/>
        <w:spacing w:line="700" w:lineRule="exact"/>
        <w:rPr>
          <w:rFonts w:hint="eastAsia" w:asciiTheme="minorEastAsia" w:hAnsiTheme="minorEastAsia" w:eastAsiaTheme="minorEastAsia" w:cstheme="minorEastAsia"/>
          <w:color w:val="auto"/>
          <w:sz w:val="32"/>
          <w:szCs w:val="32"/>
          <w:highlight w:val="none"/>
        </w:rPr>
      </w:pPr>
    </w:p>
    <w:p>
      <w:pPr>
        <w:pStyle w:val="2"/>
        <w:shd w:val="clear"/>
        <w:rPr>
          <w:rFonts w:hint="eastAsia" w:asciiTheme="minorEastAsia" w:hAnsiTheme="minorEastAsia" w:eastAsiaTheme="minorEastAsia" w:cstheme="minorEastAsia"/>
          <w:color w:val="auto"/>
          <w:sz w:val="32"/>
          <w:szCs w:val="32"/>
          <w:highlight w:val="none"/>
        </w:rPr>
      </w:pPr>
    </w:p>
    <w:p>
      <w:pPr>
        <w:pStyle w:val="82"/>
        <w:shd w:val="clear"/>
        <w:rPr>
          <w:rFonts w:hint="eastAsia" w:asciiTheme="minorEastAsia" w:hAnsiTheme="minorEastAsia" w:eastAsiaTheme="minorEastAsia" w:cstheme="minorEastAsia"/>
          <w:color w:val="auto"/>
          <w:sz w:val="32"/>
          <w:szCs w:val="32"/>
          <w:highlight w:val="none"/>
        </w:rPr>
      </w:pPr>
    </w:p>
    <w:p>
      <w:pPr>
        <w:shd w:val="clear"/>
        <w:spacing w:line="700" w:lineRule="exact"/>
        <w:rPr>
          <w:rFonts w:hint="eastAsia" w:asciiTheme="minorEastAsia" w:hAnsiTheme="minorEastAsia" w:eastAsiaTheme="minorEastAsia" w:cstheme="minorEastAsia"/>
          <w:color w:val="auto"/>
          <w:sz w:val="32"/>
          <w:szCs w:val="32"/>
          <w:highlight w:val="none"/>
        </w:rPr>
      </w:pPr>
    </w:p>
    <w:p>
      <w:pPr>
        <w:shd w:val="clear"/>
        <w:spacing w:line="700" w:lineRule="exact"/>
        <w:rPr>
          <w:rFonts w:hint="eastAsia" w:asciiTheme="minorEastAsia" w:hAnsiTheme="minorEastAsia" w:eastAsiaTheme="minorEastAsia" w:cstheme="minorEastAsia"/>
          <w:b/>
          <w:color w:val="auto"/>
          <w:sz w:val="32"/>
          <w:szCs w:val="32"/>
          <w:highlight w:val="none"/>
        </w:rPr>
      </w:pPr>
    </w:p>
    <w:p>
      <w:pPr>
        <w:shd w:val="clear"/>
        <w:spacing w:line="500" w:lineRule="exact"/>
        <w:ind w:firstLine="960" w:firstLineChars="30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 xml:space="preserve">比   选   </w:t>
      </w:r>
      <w:r>
        <w:rPr>
          <w:rFonts w:hint="eastAsia" w:asciiTheme="minorEastAsia" w:hAnsiTheme="minorEastAsia" w:eastAsiaTheme="minorEastAsia" w:cstheme="minorEastAsia"/>
          <w:color w:val="auto"/>
          <w:sz w:val="32"/>
          <w:szCs w:val="32"/>
          <w:highlight w:val="none"/>
        </w:rPr>
        <w:t>人：</w:t>
      </w:r>
      <w:r>
        <w:rPr>
          <w:rFonts w:hint="eastAsia" w:asciiTheme="minorEastAsia" w:hAnsiTheme="minorEastAsia" w:eastAsiaTheme="minorEastAsia" w:cstheme="minorEastAsia"/>
          <w:color w:val="auto"/>
          <w:sz w:val="32"/>
          <w:szCs w:val="32"/>
          <w:highlight w:val="none"/>
          <w:lang w:eastAsia="zh-CN"/>
        </w:rPr>
        <w:t>重庆市园博园管理处</w:t>
      </w:r>
    </w:p>
    <w:p>
      <w:pPr>
        <w:shd w:val="clear"/>
        <w:spacing w:line="500" w:lineRule="exact"/>
        <w:ind w:firstLine="960" w:firstLineChars="300"/>
        <w:outlineLvl w:val="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比选代理机构</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华春建设工程项目管理有限责任公司</w:t>
      </w:r>
    </w:p>
    <w:p>
      <w:pPr>
        <w:shd w:val="clear"/>
        <w:spacing w:line="720" w:lineRule="exact"/>
        <w:jc w:val="center"/>
        <w:outlineLvl w:val="0"/>
        <w:rPr>
          <w:rFonts w:hint="eastAsia" w:asciiTheme="minorEastAsia" w:hAnsiTheme="minorEastAsia" w:eastAsiaTheme="minorEastAsia" w:cstheme="minorEastAsia"/>
          <w:color w:val="auto"/>
          <w:sz w:val="32"/>
          <w:szCs w:val="32"/>
          <w:highlight w:val="none"/>
        </w:rPr>
      </w:pPr>
    </w:p>
    <w:p>
      <w:pPr>
        <w:shd w:val="clear"/>
        <w:spacing w:line="720" w:lineRule="exact"/>
        <w:jc w:val="center"/>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九</w:t>
      </w:r>
      <w:r>
        <w:rPr>
          <w:rFonts w:hint="eastAsia" w:asciiTheme="minorEastAsia" w:hAnsiTheme="minorEastAsia" w:eastAsiaTheme="minorEastAsia" w:cstheme="minorEastAsia"/>
          <w:color w:val="auto"/>
          <w:sz w:val="32"/>
          <w:szCs w:val="32"/>
          <w:highlight w:val="none"/>
        </w:rPr>
        <w:t>月</w:t>
      </w:r>
    </w:p>
    <w:p>
      <w:pPr>
        <w:shd w:val="clear"/>
        <w:spacing w:line="720" w:lineRule="exact"/>
        <w:jc w:val="center"/>
        <w:outlineLvl w:val="0"/>
        <w:rPr>
          <w:rFonts w:hint="eastAsia" w:asciiTheme="minorEastAsia" w:hAnsiTheme="minorEastAsia" w:eastAsiaTheme="minorEastAsia" w:cstheme="minorEastAsia"/>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fmt="decimal" w:start="1"/>
          <w:cols w:space="720" w:num="1"/>
          <w:docGrid w:linePitch="381" w:charSpace="-5735"/>
        </w:sectPr>
      </w:pPr>
    </w:p>
    <w:p>
      <w:pPr>
        <w:shd w:val="clea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_Toc29051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_Toc29051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_Toc29419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一、竞争性比选内容</w:t>
      </w:r>
      <w:r>
        <w:rPr>
          <w:color w:val="auto"/>
          <w:highlight w:val="none"/>
        </w:rPr>
        <w:tab/>
      </w:r>
      <w:r>
        <w:rPr>
          <w:color w:val="auto"/>
          <w:highlight w:val="none"/>
        </w:rPr>
        <w:fldChar w:fldCharType="begin"/>
      </w:r>
      <w:r>
        <w:rPr>
          <w:color w:val="auto"/>
          <w:highlight w:val="none"/>
        </w:rPr>
        <w:instrText xml:space="preserve"> PAGEREF _Toc29419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rPr>
        <w:t>、供应商资格条件</w:t>
      </w:r>
      <w:r>
        <w:rPr>
          <w:color w:val="auto"/>
          <w:highlight w:val="none"/>
        </w:rPr>
        <w:tab/>
      </w:r>
      <w:r>
        <w:rPr>
          <w:color w:val="auto"/>
          <w:highlight w:val="none"/>
        </w:rPr>
        <w:fldChar w:fldCharType="begin"/>
      </w:r>
      <w:r>
        <w:rPr>
          <w:color w:val="auto"/>
          <w:highlight w:val="none"/>
        </w:rPr>
        <w:instrText xml:space="preserve"> PAGEREF _Toc27603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_Toc4536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val="en-US" w:eastAsia="zh-CN"/>
        </w:rPr>
        <w:t>三</w:t>
      </w:r>
      <w:r>
        <w:rPr>
          <w:rFonts w:hint="eastAsia" w:asciiTheme="minorEastAsia" w:hAnsiTheme="minorEastAsia" w:eastAsiaTheme="minorEastAsia" w:cstheme="minorEastAsia"/>
          <w:color w:val="auto"/>
          <w:highlight w:val="none"/>
        </w:rPr>
        <w:t>、比选采购有关说明</w:t>
      </w:r>
      <w:r>
        <w:rPr>
          <w:color w:val="auto"/>
          <w:highlight w:val="none"/>
        </w:rPr>
        <w:tab/>
      </w:r>
      <w:r>
        <w:rPr>
          <w:color w:val="auto"/>
          <w:highlight w:val="none"/>
        </w:rPr>
        <w:fldChar w:fldCharType="begin"/>
      </w:r>
      <w:r>
        <w:rPr>
          <w:color w:val="auto"/>
          <w:highlight w:val="none"/>
        </w:rPr>
        <w:instrText xml:space="preserve"> PAGEREF _Toc4536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_Toc15409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四</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比选</w:t>
      </w:r>
      <w:r>
        <w:rPr>
          <w:rFonts w:hint="eastAsia" w:asciiTheme="minorEastAsia" w:hAnsiTheme="minorEastAsia" w:eastAsiaTheme="minorEastAsia" w:cstheme="minorEastAsia"/>
          <w:color w:val="auto"/>
          <w:highlight w:val="none"/>
        </w:rPr>
        <w:t>保证金</w:t>
      </w:r>
      <w:r>
        <w:rPr>
          <w:color w:val="auto"/>
          <w:highlight w:val="none"/>
        </w:rPr>
        <w:tab/>
      </w:r>
      <w:r>
        <w:rPr>
          <w:color w:val="auto"/>
          <w:highlight w:val="none"/>
        </w:rPr>
        <w:fldChar w:fldCharType="begin"/>
      </w:r>
      <w:r>
        <w:rPr>
          <w:color w:val="auto"/>
          <w:highlight w:val="none"/>
        </w:rPr>
        <w:instrText xml:space="preserve"> PAGEREF _Toc15409 \h </w:instrText>
      </w:r>
      <w:r>
        <w:rPr>
          <w:color w:val="auto"/>
          <w:highlight w:val="none"/>
        </w:rPr>
        <w:fldChar w:fldCharType="separate"/>
      </w:r>
      <w:r>
        <w:rPr>
          <w:color w:val="auto"/>
          <w:highlight w:val="none"/>
        </w:rPr>
        <w:t>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_Toc2811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五</w:t>
      </w:r>
      <w:r>
        <w:rPr>
          <w:rFonts w:hint="eastAsia" w:asciiTheme="minorEastAsia" w:hAnsiTheme="minorEastAsia" w:eastAsiaTheme="minorEastAsia" w:cstheme="minorEastAsia"/>
          <w:color w:val="auto"/>
          <w:highlight w:val="none"/>
        </w:rPr>
        <w:t>、其它有关规定</w:t>
      </w:r>
      <w:r>
        <w:rPr>
          <w:color w:val="auto"/>
          <w:highlight w:val="none"/>
        </w:rPr>
        <w:tab/>
      </w:r>
      <w:r>
        <w:rPr>
          <w:color w:val="auto"/>
          <w:highlight w:val="none"/>
        </w:rPr>
        <w:fldChar w:fldCharType="begin"/>
      </w:r>
      <w:r>
        <w:rPr>
          <w:color w:val="auto"/>
          <w:highlight w:val="none"/>
        </w:rPr>
        <w:instrText xml:space="preserve"> PAGEREF _Toc2811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_Toc3054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val="en-US" w:eastAsia="zh-CN"/>
        </w:rPr>
        <w:t>六</w:t>
      </w:r>
      <w:r>
        <w:rPr>
          <w:rFonts w:hint="eastAsia" w:asciiTheme="minorEastAsia" w:hAnsiTheme="minorEastAsia" w:eastAsiaTheme="minorEastAsia" w:cstheme="minorEastAsia"/>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_Toc3054 \h </w:instrText>
      </w:r>
      <w:r>
        <w:rPr>
          <w:color w:val="auto"/>
          <w:highlight w:val="none"/>
        </w:rPr>
        <w:fldChar w:fldCharType="separate"/>
      </w:r>
      <w:r>
        <w:rPr>
          <w:color w:val="auto"/>
          <w:highlight w:val="none"/>
        </w:rPr>
        <w:t>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_Toc31059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_Toc31059 \h </w:instrText>
      </w:r>
      <w:r>
        <w:rPr>
          <w:color w:val="auto"/>
          <w:highlight w:val="none"/>
        </w:rPr>
        <w:fldChar w:fldCharType="separate"/>
      </w:r>
      <w:r>
        <w:rPr>
          <w:color w:val="auto"/>
          <w:highlight w:val="none"/>
        </w:rPr>
        <w:t>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_Toc9443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_Toc9443 \h </w:instrText>
      </w:r>
      <w:r>
        <w:rPr>
          <w:color w:val="auto"/>
          <w:highlight w:val="none"/>
        </w:rPr>
        <w:fldChar w:fldCharType="separate"/>
      </w:r>
      <w:r>
        <w:rPr>
          <w:color w:val="auto"/>
          <w:highlight w:val="none"/>
        </w:rPr>
        <w:t>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_Toc20812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第四篇  比选程序及方法、评审标准、无效响应和</w:t>
      </w:r>
      <w:r>
        <w:rPr>
          <w:rFonts w:hint="eastAsia" w:asciiTheme="minorEastAsia" w:hAnsiTheme="minorEastAsia" w:eastAsiaTheme="minorEastAsia" w:cstheme="minorEastAsia"/>
          <w:bCs/>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_Toc20812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_Toc31047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一、比选程序及方法</w:t>
      </w:r>
      <w:r>
        <w:rPr>
          <w:color w:val="auto"/>
          <w:highlight w:val="none"/>
        </w:rPr>
        <w:tab/>
      </w:r>
      <w:r>
        <w:rPr>
          <w:color w:val="auto"/>
          <w:highlight w:val="none"/>
        </w:rPr>
        <w:fldChar w:fldCharType="begin"/>
      </w:r>
      <w:r>
        <w:rPr>
          <w:color w:val="auto"/>
          <w:highlight w:val="none"/>
        </w:rPr>
        <w:instrText xml:space="preserve"> PAGEREF _Toc31047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_Toc15678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_Toc8592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_Toc8592 \h </w:instrText>
      </w:r>
      <w:r>
        <w:rPr>
          <w:color w:val="auto"/>
          <w:highlight w:val="none"/>
        </w:rPr>
        <w:fldChar w:fldCharType="separate"/>
      </w:r>
      <w:r>
        <w:rPr>
          <w:color w:val="auto"/>
          <w:highlight w:val="none"/>
        </w:rPr>
        <w:t>11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_Toc30757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_Toc30757 \h </w:instrText>
      </w:r>
      <w:r>
        <w:rPr>
          <w:color w:val="auto"/>
          <w:highlight w:val="none"/>
        </w:rPr>
        <w:fldChar w:fldCharType="separate"/>
      </w:r>
      <w:r>
        <w:rPr>
          <w:color w:val="auto"/>
          <w:highlight w:val="none"/>
        </w:rPr>
        <w:t>12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_Toc27960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_Toc27960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_Toc22841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一、比选费用</w:t>
      </w:r>
      <w:r>
        <w:rPr>
          <w:color w:val="auto"/>
          <w:highlight w:val="none"/>
        </w:rPr>
        <w:tab/>
      </w:r>
      <w:r>
        <w:rPr>
          <w:color w:val="auto"/>
          <w:highlight w:val="none"/>
        </w:rPr>
        <w:fldChar w:fldCharType="begin"/>
      </w:r>
      <w:r>
        <w:rPr>
          <w:color w:val="auto"/>
          <w:highlight w:val="none"/>
        </w:rPr>
        <w:instrText xml:space="preserve"> PAGEREF _Toc22841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_Toc21109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二、竞争性比选文件</w:t>
      </w:r>
      <w:r>
        <w:rPr>
          <w:color w:val="auto"/>
          <w:highlight w:val="none"/>
        </w:rPr>
        <w:tab/>
      </w:r>
      <w:r>
        <w:rPr>
          <w:color w:val="auto"/>
          <w:highlight w:val="none"/>
        </w:rPr>
        <w:fldChar w:fldCharType="begin"/>
      </w:r>
      <w:r>
        <w:rPr>
          <w:color w:val="auto"/>
          <w:highlight w:val="none"/>
        </w:rPr>
        <w:instrText xml:space="preserve"> PAGEREF _Toc21109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_Toc4662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三、参选要求</w:t>
      </w:r>
      <w:r>
        <w:rPr>
          <w:color w:val="auto"/>
          <w:highlight w:val="none"/>
        </w:rPr>
        <w:tab/>
      </w:r>
      <w:r>
        <w:rPr>
          <w:color w:val="auto"/>
          <w:highlight w:val="none"/>
        </w:rPr>
        <w:fldChar w:fldCharType="begin"/>
      </w:r>
      <w:r>
        <w:rPr>
          <w:color w:val="auto"/>
          <w:highlight w:val="none"/>
        </w:rPr>
        <w:instrText xml:space="preserve"> PAGEREF _Toc4662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_Toc26377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eastAsia="zh-CN"/>
        </w:rPr>
        <w:t>成交供应商</w:t>
      </w:r>
      <w:r>
        <w:rPr>
          <w:rFonts w:hint="eastAsia" w:asciiTheme="minorEastAsia" w:hAnsiTheme="minorEastAsia" w:eastAsiaTheme="minorEastAsia" w:cstheme="minorEastAsia"/>
          <w:color w:val="auto"/>
          <w:highlight w:val="none"/>
        </w:rPr>
        <w:t>的确认和变更</w:t>
      </w:r>
      <w:r>
        <w:rPr>
          <w:color w:val="auto"/>
          <w:highlight w:val="none"/>
        </w:rPr>
        <w:tab/>
      </w:r>
      <w:r>
        <w:rPr>
          <w:color w:val="auto"/>
          <w:highlight w:val="none"/>
        </w:rPr>
        <w:fldChar w:fldCharType="begin"/>
      </w:r>
      <w:r>
        <w:rPr>
          <w:color w:val="auto"/>
          <w:highlight w:val="none"/>
        </w:rPr>
        <w:instrText xml:space="preserve"> PAGEREF _Toc26377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_Toc10489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_Toc10489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_Toc27612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六、关于询问</w:t>
      </w:r>
      <w:r>
        <w:rPr>
          <w:color w:val="auto"/>
          <w:highlight w:val="none"/>
        </w:rPr>
        <w:tab/>
      </w:r>
      <w:r>
        <w:rPr>
          <w:color w:val="auto"/>
          <w:highlight w:val="none"/>
        </w:rPr>
        <w:fldChar w:fldCharType="begin"/>
      </w:r>
      <w:r>
        <w:rPr>
          <w:color w:val="auto"/>
          <w:highlight w:val="none"/>
        </w:rPr>
        <w:instrText xml:space="preserve"> PAGEREF _Toc27612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_Toc27468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_Toc27468 \h </w:instrText>
      </w:r>
      <w:r>
        <w:rPr>
          <w:color w:val="auto"/>
          <w:highlight w:val="none"/>
        </w:rPr>
        <w:fldChar w:fldCharType="separate"/>
      </w:r>
      <w:r>
        <w:rPr>
          <w:color w:val="auto"/>
          <w:highlight w:val="none"/>
        </w:rPr>
        <w:t>16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_Toc11813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_Toc11813 \h </w:instrText>
      </w:r>
      <w:r>
        <w:rPr>
          <w:color w:val="auto"/>
          <w:highlight w:val="none"/>
        </w:rPr>
        <w:fldChar w:fldCharType="separate"/>
      </w:r>
      <w:r>
        <w:rPr>
          <w:color w:val="auto"/>
          <w:highlight w:val="none"/>
        </w:rPr>
        <w:t>16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_Toc5582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lang w:val="en-US" w:eastAsia="zh-CN"/>
        </w:rPr>
        <w:t>第六篇 采购合同（参考）</w:t>
      </w:r>
      <w:r>
        <w:rPr>
          <w:color w:val="auto"/>
          <w:highlight w:val="none"/>
        </w:rPr>
        <w:tab/>
      </w:r>
      <w:r>
        <w:rPr>
          <w:color w:val="auto"/>
          <w:highlight w:val="none"/>
        </w:rPr>
        <w:fldChar w:fldCharType="begin"/>
      </w:r>
      <w:r>
        <w:rPr>
          <w:color w:val="auto"/>
          <w:highlight w:val="none"/>
        </w:rPr>
        <w:instrText xml:space="preserve"> PAGEREF _Toc5582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_Toc13094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6"/>
          <w:highlight w:val="none"/>
        </w:rPr>
        <w:t>第</w:t>
      </w:r>
      <w:r>
        <w:rPr>
          <w:rFonts w:hint="eastAsia" w:asciiTheme="minorEastAsia" w:hAnsiTheme="minorEastAsia" w:eastAsiaTheme="minorEastAsia" w:cstheme="minorEastAsia"/>
          <w:color w:val="auto"/>
          <w:szCs w:val="36"/>
          <w:highlight w:val="none"/>
          <w:lang w:val="en-US" w:eastAsia="zh-CN"/>
        </w:rPr>
        <w:t>七</w:t>
      </w:r>
      <w:r>
        <w:rPr>
          <w:rFonts w:hint="eastAsia" w:asciiTheme="minorEastAsia" w:hAnsiTheme="minorEastAsia" w:eastAsiaTheme="minorEastAsia" w:cstheme="minorEastAsia"/>
          <w:color w:val="auto"/>
          <w:szCs w:val="36"/>
          <w:highlight w:val="none"/>
        </w:rPr>
        <w:t xml:space="preserve">篇  </w:t>
      </w:r>
      <w:r>
        <w:rPr>
          <w:rFonts w:hint="eastAsia" w:asciiTheme="minorEastAsia" w:hAnsiTheme="minorEastAsia" w:eastAsiaTheme="minorEastAsia" w:cstheme="minorEastAsia"/>
          <w:bCs/>
          <w:color w:val="auto"/>
          <w:szCs w:val="30"/>
          <w:highlight w:val="none"/>
        </w:rPr>
        <w:t>响应文件编制要求</w:t>
      </w:r>
      <w:r>
        <w:rPr>
          <w:color w:val="auto"/>
          <w:highlight w:val="none"/>
        </w:rPr>
        <w:tab/>
      </w:r>
      <w:r>
        <w:rPr>
          <w:color w:val="auto"/>
          <w:highlight w:val="none"/>
        </w:rPr>
        <w:fldChar w:fldCharType="begin"/>
      </w:r>
      <w:r>
        <w:rPr>
          <w:color w:val="auto"/>
          <w:highlight w:val="none"/>
        </w:rPr>
        <w:instrText xml:space="preserve"> PAGEREF _Toc13094 \h </w:instrText>
      </w:r>
      <w:r>
        <w:rPr>
          <w:color w:val="auto"/>
          <w:highlight w:val="none"/>
        </w:rPr>
        <w:fldChar w:fldCharType="separate"/>
      </w:r>
      <w:r>
        <w:rPr>
          <w:color w:val="auto"/>
          <w:highlight w:val="none"/>
        </w:rPr>
        <w:t>18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_Toc28503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_Toc28503 \h </w:instrText>
      </w:r>
      <w:r>
        <w:rPr>
          <w:color w:val="auto"/>
          <w:highlight w:val="none"/>
        </w:rPr>
        <w:fldChar w:fldCharType="separate"/>
      </w:r>
      <w:r>
        <w:rPr>
          <w:color w:val="auto"/>
          <w:highlight w:val="none"/>
        </w:rPr>
        <w:t>19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_Toc2697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_Toc2697 \h </w:instrText>
      </w:r>
      <w:r>
        <w:rPr>
          <w:color w:val="auto"/>
          <w:highlight w:val="none"/>
        </w:rPr>
        <w:fldChar w:fldCharType="separate"/>
      </w:r>
      <w:r>
        <w:rPr>
          <w:color w:val="auto"/>
          <w:highlight w:val="none"/>
        </w:rPr>
        <w:t>20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_Toc25678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_Toc25678 \h </w:instrText>
      </w:r>
      <w:r>
        <w:rPr>
          <w:color w:val="auto"/>
          <w:highlight w:val="none"/>
        </w:rPr>
        <w:fldChar w:fldCharType="separate"/>
      </w:r>
      <w:r>
        <w:rPr>
          <w:color w:val="auto"/>
          <w:highlight w:val="none"/>
        </w:rPr>
        <w:t>23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_Toc17631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_Toc17631 \h </w:instrText>
      </w:r>
      <w:r>
        <w:rPr>
          <w:color w:val="auto"/>
          <w:highlight w:val="none"/>
        </w:rPr>
        <w:fldChar w:fldCharType="separate"/>
      </w:r>
      <w:r>
        <w:rPr>
          <w:color w:val="auto"/>
          <w:highlight w:val="none"/>
        </w:rPr>
        <w:t>25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_Toc18881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_Toc18881 \h </w:instrText>
      </w:r>
      <w:r>
        <w:rPr>
          <w:color w:val="auto"/>
          <w:highlight w:val="none"/>
        </w:rPr>
        <w:fldChar w:fldCharType="separate"/>
      </w:r>
      <w:r>
        <w:rPr>
          <w:color w:val="auto"/>
          <w:highlight w:val="none"/>
        </w:rPr>
        <w:t>29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pPr>
        <w:pStyle w:val="48"/>
        <w:shd w:val="clear"/>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footerReference r:id="rId8" w:type="default"/>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pPr>
        <w:pStyle w:val="4"/>
        <w:shd w:val="clear"/>
        <w:spacing w:line="360" w:lineRule="auto"/>
        <w:jc w:val="center"/>
        <w:rPr>
          <w:rFonts w:hint="eastAsia" w:asciiTheme="minorEastAsia" w:hAnsiTheme="minorEastAsia" w:eastAsiaTheme="minorEastAsia" w:cstheme="minorEastAsia"/>
          <w:bCs/>
          <w:color w:val="auto"/>
          <w:szCs w:val="30"/>
          <w:highlight w:val="none"/>
        </w:rPr>
      </w:pPr>
      <w:bookmarkStart w:id="0" w:name="_Toc11641050"/>
      <w:bookmarkEnd w:id="0"/>
      <w:bookmarkStart w:id="1" w:name="_Toc12789052"/>
      <w:bookmarkEnd w:id="1"/>
      <w:bookmarkStart w:id="2" w:name="_Toc7314"/>
      <w:bookmarkEnd w:id="2"/>
      <w:bookmarkStart w:id="3" w:name="_Toc76462316"/>
      <w:bookmarkEnd w:id="3"/>
      <w:bookmarkStart w:id="4" w:name="_Toc106030870"/>
      <w:bookmarkEnd w:id="4"/>
      <w:bookmarkStart w:id="5" w:name="_Toc29051"/>
      <w:bookmarkStart w:id="6" w:name="_Toc15468"/>
      <w:bookmarkStart w:id="7" w:name="_Toc16374"/>
      <w:bookmarkStart w:id="282" w:name="_GoBack"/>
      <w:r>
        <w:rPr>
          <w:rFonts w:hint="eastAsia" w:asciiTheme="minorEastAsia" w:hAnsiTheme="minorEastAsia" w:eastAsiaTheme="minorEastAsia" w:cstheme="minorEastAsia"/>
          <w:bCs/>
          <w:color w:val="auto"/>
          <w:sz w:val="36"/>
          <w:szCs w:val="30"/>
          <w:highlight w:val="none"/>
        </w:rPr>
        <w:t>第一篇  采购邀请书</w:t>
      </w:r>
      <w:bookmarkEnd w:id="5"/>
      <w:bookmarkEnd w:id="6"/>
      <w:bookmarkEnd w:id="7"/>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华春建设工程项目管理有限责任公司</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）接受</w:t>
      </w:r>
      <w:r>
        <w:rPr>
          <w:rFonts w:hint="eastAsia" w:asciiTheme="minorEastAsia" w:hAnsiTheme="minorEastAsia" w:eastAsiaTheme="minorEastAsia" w:cstheme="minorEastAsia"/>
          <w:color w:val="auto"/>
          <w:sz w:val="24"/>
          <w:szCs w:val="24"/>
          <w:highlight w:val="none"/>
          <w:u w:val="single"/>
          <w:lang w:eastAsia="zh-CN"/>
        </w:rPr>
        <w:t>重庆市园博园管理处</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）的委托，对</w:t>
      </w:r>
      <w:r>
        <w:rPr>
          <w:rFonts w:hint="eastAsia" w:asciiTheme="minorEastAsia" w:hAnsiTheme="minorEastAsia" w:eastAsiaTheme="minorEastAsia" w:cstheme="minorEastAsia"/>
          <w:color w:val="auto"/>
          <w:sz w:val="24"/>
          <w:szCs w:val="24"/>
          <w:highlight w:val="none"/>
          <w:u w:val="single"/>
          <w:lang w:eastAsia="zh-CN"/>
        </w:rPr>
        <w:t>重庆园博园自助行李寄存柜</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rPr>
        <w:t>比选采购。欢迎有资格的供应商前来参与比选。</w:t>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 w:name="_Toc111"/>
      <w:bookmarkEnd w:id="8"/>
      <w:bookmarkStart w:id="9" w:name="_Toc76462317"/>
      <w:bookmarkEnd w:id="9"/>
      <w:bookmarkStart w:id="10" w:name="_Toc317775175"/>
      <w:bookmarkEnd w:id="10"/>
      <w:bookmarkStart w:id="11" w:name="_Toc313893526"/>
      <w:bookmarkEnd w:id="11"/>
      <w:bookmarkStart w:id="12" w:name="_Toc106030871"/>
      <w:bookmarkEnd w:id="12"/>
      <w:bookmarkStart w:id="13" w:name="_Toc25655"/>
      <w:bookmarkStart w:id="14" w:name="_Toc29419"/>
      <w:bookmarkStart w:id="15" w:name="_Toc15457"/>
      <w:r>
        <w:rPr>
          <w:rFonts w:hint="eastAsia" w:asciiTheme="minorEastAsia" w:hAnsiTheme="minorEastAsia" w:eastAsiaTheme="minorEastAsia" w:cstheme="minorEastAsia"/>
          <w:color w:val="auto"/>
          <w:sz w:val="24"/>
          <w:highlight w:val="none"/>
        </w:rPr>
        <w:t>一、竞争性比选内容</w:t>
      </w:r>
      <w:bookmarkEnd w:id="13"/>
      <w:bookmarkEnd w:id="14"/>
      <w:bookmarkEnd w:id="15"/>
    </w:p>
    <w:tbl>
      <w:tblPr>
        <w:tblStyle w:val="6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1"/>
        <w:gridCol w:w="2339"/>
        <w:gridCol w:w="1515"/>
        <w:gridCol w:w="1677"/>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1430" w:type="pct"/>
            <w:tcBorders>
              <w:top w:val="single" w:color="auto" w:sz="4" w:space="0"/>
              <w:left w:val="single" w:color="auto" w:sz="4" w:space="0"/>
              <w:right w:val="single" w:color="auto" w:sz="4" w:space="0"/>
            </w:tcBorders>
            <w:noWrap w:val="0"/>
            <w:vAlign w:val="center"/>
          </w:tcPr>
          <w:p>
            <w:pPr>
              <w:widowControl/>
              <w:shd w:val="clear"/>
              <w:jc w:val="center"/>
              <w:rPr>
                <w:rFonts w:hint="eastAsia" w:ascii="宋体" w:hAnsi="宋体" w:eastAsia="宋体" w:cs="宋体"/>
                <w:b/>
                <w:bCs/>
                <w:kern w:val="0"/>
                <w:sz w:val="21"/>
                <w:szCs w:val="24"/>
                <w:highlight w:val="none"/>
              </w:rPr>
            </w:pPr>
            <w:bookmarkStart w:id="16" w:name="_Toc106030872"/>
            <w:bookmarkEnd w:id="16"/>
            <w:bookmarkStart w:id="17" w:name="_Toc76462318"/>
            <w:bookmarkEnd w:id="17"/>
            <w:bookmarkStart w:id="18" w:name="_Toc29613"/>
            <w:bookmarkEnd w:id="18"/>
            <w:bookmarkStart w:id="19" w:name="_Toc106030873"/>
            <w:bookmarkEnd w:id="19"/>
            <w:bookmarkStart w:id="20" w:name="_Toc21035"/>
            <w:bookmarkEnd w:id="20"/>
            <w:bookmarkStart w:id="21" w:name="_Toc76462319"/>
            <w:bookmarkEnd w:id="21"/>
            <w:bookmarkStart w:id="22" w:name="_Toc27603"/>
            <w:bookmarkStart w:id="23" w:name="_Toc17979"/>
            <w:bookmarkStart w:id="24" w:name="_Toc12739"/>
            <w:bookmarkStart w:id="25" w:name="_Toc373860293"/>
            <w:bookmarkStart w:id="26" w:name="_Toc317775178"/>
            <w:r>
              <w:rPr>
                <w:rFonts w:hint="eastAsia" w:ascii="宋体" w:hAnsi="宋体" w:eastAsia="宋体" w:cs="宋体"/>
                <w:b/>
                <w:bCs/>
                <w:kern w:val="0"/>
                <w:sz w:val="21"/>
                <w:szCs w:val="24"/>
                <w:highlight w:val="none"/>
                <w:lang w:val="en-US" w:eastAsia="zh-CN"/>
              </w:rPr>
              <w:t>项目</w:t>
            </w:r>
            <w:r>
              <w:rPr>
                <w:rFonts w:hint="eastAsia" w:ascii="宋体" w:hAnsi="宋体" w:eastAsia="宋体" w:cs="宋体"/>
                <w:b/>
                <w:bCs/>
                <w:kern w:val="0"/>
                <w:sz w:val="21"/>
                <w:szCs w:val="24"/>
                <w:highlight w:val="none"/>
              </w:rPr>
              <w:t>名称</w:t>
            </w:r>
          </w:p>
        </w:tc>
        <w:tc>
          <w:tcPr>
            <w:tcW w:w="1215" w:type="pct"/>
            <w:tcBorders>
              <w:top w:val="single" w:color="auto" w:sz="4" w:space="0"/>
              <w:left w:val="single" w:color="auto" w:sz="4" w:space="0"/>
              <w:right w:val="single" w:color="auto" w:sz="4" w:space="0"/>
            </w:tcBorders>
            <w:noWrap w:val="0"/>
            <w:vAlign w:val="center"/>
          </w:tcPr>
          <w:p>
            <w:pPr>
              <w:pStyle w:val="23"/>
              <w:shd w:val="clear"/>
              <w:spacing w:line="240" w:lineRule="auto"/>
              <w:ind w:left="0" w:leftChars="0"/>
              <w:jc w:val="center"/>
              <w:outlineLvl w:val="0"/>
              <w:rPr>
                <w:rFonts w:hint="eastAsia" w:ascii="宋体" w:hAnsi="宋体" w:eastAsia="宋体" w:cs="宋体"/>
                <w:b/>
                <w:bCs/>
                <w:kern w:val="0"/>
                <w:sz w:val="21"/>
                <w:szCs w:val="24"/>
                <w:highlight w:val="none"/>
              </w:rPr>
            </w:pPr>
            <w:r>
              <w:rPr>
                <w:rFonts w:hint="eastAsia" w:asciiTheme="minorEastAsia" w:hAnsiTheme="minorEastAsia" w:eastAsiaTheme="minorEastAsia" w:cstheme="minorEastAsia"/>
                <w:b/>
                <w:color w:val="auto"/>
                <w:sz w:val="21"/>
                <w:szCs w:val="21"/>
                <w:highlight w:val="none"/>
                <w:lang w:val="en-US" w:eastAsia="zh-CN"/>
              </w:rPr>
              <w:t>比选人分成比例最低限价（%/年）</w:t>
            </w:r>
          </w:p>
        </w:tc>
        <w:tc>
          <w:tcPr>
            <w:tcW w:w="787" w:type="pct"/>
            <w:tcBorders>
              <w:top w:val="single" w:color="auto" w:sz="4" w:space="0"/>
              <w:left w:val="single" w:color="auto" w:sz="4" w:space="0"/>
              <w:right w:val="single" w:color="auto" w:sz="4" w:space="0"/>
            </w:tcBorders>
            <w:noWrap w:val="0"/>
            <w:vAlign w:val="center"/>
          </w:tcPr>
          <w:p>
            <w:pPr>
              <w:pStyle w:val="23"/>
              <w:shd w:val="clear"/>
              <w:spacing w:line="240" w:lineRule="auto"/>
              <w:ind w:left="0" w:leftChars="0"/>
              <w:jc w:val="center"/>
              <w:outlineLvl w:val="0"/>
              <w:rPr>
                <w:rFonts w:hint="eastAsia" w:ascii="宋体" w:hAnsi="宋体" w:eastAsia="宋体" w:cs="宋体"/>
                <w:b/>
                <w:bCs/>
                <w:kern w:val="0"/>
                <w:sz w:val="21"/>
                <w:szCs w:val="24"/>
                <w:highlight w:val="none"/>
              </w:rPr>
            </w:pPr>
            <w:r>
              <w:rPr>
                <w:rFonts w:hint="eastAsia" w:asciiTheme="minorEastAsia" w:hAnsiTheme="minorEastAsia" w:eastAsiaTheme="minorEastAsia" w:cstheme="minorEastAsia"/>
                <w:b/>
                <w:color w:val="auto"/>
                <w:sz w:val="21"/>
                <w:szCs w:val="21"/>
                <w:highlight w:val="none"/>
                <w:lang w:val="en-US" w:eastAsia="zh-CN"/>
              </w:rPr>
              <w:t>比选保证金（万元）</w:t>
            </w:r>
          </w:p>
        </w:tc>
        <w:tc>
          <w:tcPr>
            <w:tcW w:w="871" w:type="pct"/>
            <w:tcBorders>
              <w:top w:val="single" w:color="auto" w:sz="4" w:space="0"/>
              <w:left w:val="single" w:color="auto" w:sz="4" w:space="0"/>
              <w:right w:val="single" w:color="auto" w:sz="4" w:space="0"/>
            </w:tcBorders>
            <w:noWrap w:val="0"/>
            <w:vAlign w:val="center"/>
          </w:tcPr>
          <w:p>
            <w:pPr>
              <w:shd w:val="clear"/>
              <w:jc w:val="center"/>
              <w:rPr>
                <w:rFonts w:hint="eastAsia" w:ascii="宋体" w:hAnsi="宋体" w:eastAsia="宋体" w:cs="宋体"/>
                <w:b/>
                <w:bCs/>
                <w:kern w:val="0"/>
                <w:sz w:val="21"/>
                <w:szCs w:val="24"/>
                <w:highlight w:val="none"/>
              </w:rPr>
            </w:pPr>
            <w:r>
              <w:rPr>
                <w:rFonts w:hint="eastAsia" w:ascii="宋体" w:hAnsi="宋体" w:eastAsia="宋体" w:cs="宋体"/>
                <w:b/>
                <w:bCs/>
                <w:kern w:val="0"/>
                <w:sz w:val="21"/>
                <w:szCs w:val="24"/>
                <w:highlight w:val="none"/>
              </w:rPr>
              <w:t>成交供应商数量（名）</w:t>
            </w:r>
          </w:p>
        </w:tc>
        <w:tc>
          <w:tcPr>
            <w:tcW w:w="694" w:type="pct"/>
            <w:tcBorders>
              <w:top w:val="single" w:color="auto" w:sz="4" w:space="0"/>
              <w:left w:val="single" w:color="auto" w:sz="4" w:space="0"/>
              <w:right w:val="single" w:color="auto" w:sz="4" w:space="0"/>
            </w:tcBorders>
            <w:noWrap w:val="0"/>
            <w:vAlign w:val="center"/>
          </w:tcPr>
          <w:p>
            <w:pPr>
              <w:shd w:val="clear"/>
              <w:jc w:val="center"/>
              <w:rPr>
                <w:rFonts w:hint="eastAsia" w:ascii="宋体" w:hAnsi="宋体" w:eastAsia="宋体" w:cs="宋体"/>
                <w:b/>
                <w:bCs/>
                <w:kern w:val="0"/>
                <w:sz w:val="21"/>
                <w:szCs w:val="24"/>
                <w:highlight w:val="none"/>
              </w:rPr>
            </w:pPr>
            <w:r>
              <w:rPr>
                <w:rFonts w:hint="eastAsia" w:ascii="宋体" w:hAnsi="宋体" w:eastAsia="宋体" w:cs="宋体"/>
                <w:b/>
                <w:bCs/>
                <w:kern w:val="0"/>
                <w:sz w:val="21"/>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30" w:type="pct"/>
            <w:tcBorders>
              <w:top w:val="single" w:color="auto" w:sz="4" w:space="0"/>
              <w:left w:val="single" w:color="auto" w:sz="4" w:space="0"/>
              <w:bottom w:val="single" w:color="auto" w:sz="4" w:space="0"/>
              <w:right w:val="single" w:color="auto" w:sz="4" w:space="0"/>
            </w:tcBorders>
            <w:noWrap w:val="0"/>
            <w:vAlign w:val="center"/>
          </w:tcPr>
          <w:p>
            <w:pPr>
              <w:widowControl/>
              <w:shd w:val="clear"/>
              <w:jc w:val="center"/>
              <w:rPr>
                <w:rFonts w:hint="eastAsia" w:ascii="宋体" w:hAnsi="宋体" w:eastAsia="宋体" w:cs="宋体"/>
                <w:kern w:val="0"/>
                <w:sz w:val="21"/>
                <w:szCs w:val="24"/>
                <w:highlight w:val="none"/>
                <w:lang w:eastAsia="zh-CN"/>
              </w:rPr>
            </w:pPr>
            <w:r>
              <w:rPr>
                <w:rFonts w:hint="eastAsia" w:ascii="宋体" w:hAnsi="宋体" w:cs="宋体"/>
                <w:kern w:val="0"/>
                <w:sz w:val="21"/>
                <w:szCs w:val="24"/>
                <w:highlight w:val="none"/>
                <w:lang w:eastAsia="zh-CN"/>
              </w:rPr>
              <w:t>重庆园博园自助行李寄存柜</w:t>
            </w:r>
          </w:p>
        </w:tc>
        <w:tc>
          <w:tcPr>
            <w:tcW w:w="1215" w:type="pct"/>
            <w:tcBorders>
              <w:top w:val="single" w:color="auto" w:sz="4" w:space="0"/>
              <w:left w:val="single" w:color="auto" w:sz="4" w:space="0"/>
              <w:bottom w:val="single" w:color="auto" w:sz="4" w:space="0"/>
              <w:right w:val="single" w:color="auto" w:sz="4" w:space="0"/>
            </w:tcBorders>
            <w:noWrap w:val="0"/>
            <w:vAlign w:val="center"/>
          </w:tcPr>
          <w:p>
            <w:pPr>
              <w:shd w:val="clear"/>
              <w:spacing w:line="240" w:lineRule="atLeast"/>
              <w:jc w:val="center"/>
              <w:outlineLvl w:val="0"/>
              <w:rPr>
                <w:rFonts w:hint="default" w:ascii="宋体" w:hAnsi="宋体" w:eastAsia="宋体" w:cs="宋体"/>
                <w:sz w:val="21"/>
                <w:szCs w:val="21"/>
                <w:highlight w:val="none"/>
                <w:lang w:val="en-US"/>
              </w:rPr>
            </w:pPr>
            <w:r>
              <w:rPr>
                <w:rFonts w:hint="eastAsia" w:ascii="宋体" w:hAnsi="宋体" w:cs="宋体"/>
                <w:color w:val="auto"/>
                <w:kern w:val="2"/>
                <w:sz w:val="21"/>
                <w:szCs w:val="21"/>
                <w:highlight w:val="none"/>
                <w:lang w:val="en-US" w:eastAsia="zh-CN" w:bidi="ar-SA"/>
              </w:rPr>
              <w:t>30</w:t>
            </w:r>
          </w:p>
        </w:tc>
        <w:tc>
          <w:tcPr>
            <w:tcW w:w="787" w:type="pct"/>
            <w:tcBorders>
              <w:top w:val="single" w:color="auto" w:sz="4" w:space="0"/>
              <w:left w:val="single" w:color="auto" w:sz="4" w:space="0"/>
              <w:bottom w:val="single" w:color="auto" w:sz="4" w:space="0"/>
              <w:right w:val="single" w:color="auto" w:sz="4" w:space="0"/>
            </w:tcBorders>
            <w:noWrap w:val="0"/>
            <w:vAlign w:val="center"/>
          </w:tcPr>
          <w:p>
            <w:pPr>
              <w:shd w:val="clear"/>
              <w:spacing w:line="240" w:lineRule="atLeast"/>
              <w:jc w:val="center"/>
              <w:outlineLvl w:val="0"/>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1</w:t>
            </w:r>
          </w:p>
        </w:tc>
        <w:tc>
          <w:tcPr>
            <w:tcW w:w="871" w:type="pct"/>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694" w:type="pct"/>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default"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服务期5年</w:t>
            </w:r>
          </w:p>
        </w:tc>
      </w:tr>
    </w:tbl>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、供应商资格条件</w:t>
      </w:r>
      <w:bookmarkEnd w:id="22"/>
      <w:bookmarkEnd w:id="23"/>
      <w:bookmarkEnd w:id="24"/>
    </w:p>
    <w:bookmarkEnd w:id="25"/>
    <w:p>
      <w:pPr>
        <w:shd w:val="clear"/>
        <w:spacing w:line="400" w:lineRule="exact"/>
        <w:ind w:firstLine="480" w:firstLineChars="200"/>
        <w:rPr>
          <w:rFonts w:hint="eastAsia" w:ascii="宋体" w:hAnsi="宋体" w:cs="宋体"/>
          <w:color w:val="auto"/>
          <w:sz w:val="24"/>
          <w:szCs w:val="24"/>
          <w:highlight w:val="none"/>
        </w:rPr>
      </w:pPr>
      <w:bookmarkStart w:id="27" w:name="_Toc24313"/>
      <w:bookmarkEnd w:id="27"/>
      <w:bookmarkStart w:id="28" w:name="_Toc76462320"/>
      <w:bookmarkEnd w:id="28"/>
      <w:bookmarkStart w:id="29" w:name="_Toc106030874"/>
      <w:bookmarkEnd w:id="29"/>
      <w:r>
        <w:rPr>
          <w:rFonts w:hint="eastAsia" w:ascii="宋体" w:hAnsi="宋体" w:cs="宋体"/>
          <w:color w:val="auto"/>
          <w:sz w:val="24"/>
          <w:szCs w:val="24"/>
          <w:highlight w:val="none"/>
        </w:rPr>
        <w:t>（一）满足《中华人民共和国政府采购法》第二十二条规定；</w:t>
      </w:r>
    </w:p>
    <w:p>
      <w:pPr>
        <w:shd w:val="clea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（二）落实政府采购政策需满足的资格要求：无。</w:t>
      </w:r>
    </w:p>
    <w:p>
      <w:pPr>
        <w:shd w:val="clear"/>
        <w:spacing w:line="3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（三）本项目的特定资格要求：无。</w:t>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30" w:name="_Toc16913"/>
      <w:bookmarkStart w:id="31" w:name="_Toc4034"/>
      <w:bookmarkStart w:id="32" w:name="_Toc4536"/>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、比选采购有关说明</w:t>
      </w:r>
      <w:bookmarkEnd w:id="30"/>
      <w:bookmarkEnd w:id="31"/>
      <w:bookmarkEnd w:id="32"/>
    </w:p>
    <w:p>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（一）凡有意参加比选的供应商，请在</w:t>
      </w:r>
      <w:r>
        <w:rPr>
          <w:rFonts w:hint="eastAsia" w:ascii="宋体" w:hAnsi="宋体" w:eastAsia="宋体" w:cs="宋体"/>
          <w:sz w:val="24"/>
          <w:szCs w:val="24"/>
          <w:highlight w:val="none"/>
          <w:lang w:eastAsia="zh-CN"/>
        </w:rPr>
        <w:t>“重庆</w:t>
      </w:r>
      <w:r>
        <w:rPr>
          <w:rFonts w:hint="eastAsia" w:ascii="宋体" w:hAnsi="宋体" w:eastAsia="宋体" w:cs="宋体"/>
          <w:sz w:val="24"/>
          <w:szCs w:val="24"/>
          <w:highlight w:val="none"/>
          <w:lang w:val="en-US" w:eastAsia="zh-CN"/>
        </w:rPr>
        <w:t>园博园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（http://www.cqybh2011.com/cqyby/index.html）</w:t>
      </w:r>
      <w:r>
        <w:rPr>
          <w:rFonts w:hint="eastAsia" w:ascii="宋体" w:hAnsi="宋体" w:eastAsia="宋体" w:cs="宋体"/>
          <w:sz w:val="24"/>
          <w:szCs w:val="24"/>
          <w:highlight w:val="none"/>
          <w:lang w:val="en-US" w:eastAsia="zh-CN"/>
        </w:rPr>
        <w:t>或“中国采购与招标网”（https://www.chinabidding.com.cn/）</w:t>
      </w:r>
      <w:r>
        <w:rPr>
          <w:rFonts w:hint="eastAsia" w:asciiTheme="minorEastAsia" w:hAnsiTheme="minorEastAsia" w:eastAsiaTheme="minorEastAsia" w:cstheme="minorEastAsia"/>
          <w:color w:val="auto"/>
          <w:sz w:val="24"/>
          <w:szCs w:val="24"/>
          <w:highlight w:val="none"/>
        </w:rPr>
        <w:t>上下载本项目竞争性比选文件以及澄清等比选前公布的所有项目资料，无论供应商下载与否，均视为已知晓所有比选实质性要求内容。</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）竞争性比选公告期限：自采购公告发布之日起三个工作日。</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）竞争性比选文件发售期限：</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竞争性比选文件发售期：202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9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24 </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9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28 </w:t>
      </w:r>
      <w:r>
        <w:rPr>
          <w:rFonts w:hint="eastAsia" w:asciiTheme="minorEastAsia" w:hAnsiTheme="minorEastAsia" w:eastAsiaTheme="minorEastAsia" w:cstheme="minorEastAsia"/>
          <w:color w:val="auto"/>
          <w:sz w:val="24"/>
          <w:szCs w:val="24"/>
          <w:highlight w:val="none"/>
        </w:rPr>
        <w:t>日（9:00—17:00工作时间）。</w:t>
      </w:r>
    </w:p>
    <w:p>
      <w:pPr>
        <w:shd w:val="clea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2、报名方式</w:t>
      </w:r>
    </w:p>
    <w:p>
      <w:pPr>
        <w:shd w:val="clear"/>
        <w:wordWrap w:val="0"/>
        <w:adjustRightInd/>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在磋商文件发售期内，供应商将磋商文件购买费用汇至以下账户内进行购买。通过汇款方式购买磋商文件的，将磋商文件汇款凭证（注明项目编号）、《采购文件发售登记表》（加盖供应商公章）扫描后发送至403140251@QQ.com（邮箱）。"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在</w:t>
      </w:r>
      <w:r>
        <w:rPr>
          <w:rFonts w:hint="eastAsia" w:ascii="宋体" w:hAnsi="宋体" w:cs="宋体"/>
          <w:sz w:val="24"/>
          <w:szCs w:val="24"/>
          <w:highlight w:val="none"/>
          <w:lang w:val="en-US" w:eastAsia="zh-CN"/>
        </w:rPr>
        <w:t>比选</w:t>
      </w:r>
      <w:r>
        <w:rPr>
          <w:rFonts w:hint="eastAsia" w:ascii="宋体" w:hAnsi="宋体" w:eastAsia="宋体" w:cs="宋体"/>
          <w:sz w:val="24"/>
          <w:szCs w:val="24"/>
          <w:highlight w:val="none"/>
        </w:rPr>
        <w:t>文件发售期内，将《</w:t>
      </w:r>
      <w:r>
        <w:rPr>
          <w:rFonts w:hint="eastAsia" w:ascii="宋体" w:hAnsi="宋体" w:cs="宋体"/>
          <w:sz w:val="24"/>
          <w:szCs w:val="24"/>
          <w:highlight w:val="none"/>
          <w:lang w:val="en-US" w:eastAsia="zh-CN"/>
        </w:rPr>
        <w:t>比选</w:t>
      </w:r>
      <w:r>
        <w:rPr>
          <w:rFonts w:hint="eastAsia" w:ascii="宋体" w:hAnsi="宋体" w:eastAsia="宋体" w:cs="宋体"/>
          <w:sz w:val="24"/>
          <w:szCs w:val="24"/>
          <w:highlight w:val="none"/>
        </w:rPr>
        <w:t>文件发售登记表》（加盖供应商公章）扫描后发送至280756406@QQ.com（邮箱）。</w:t>
      </w:r>
      <w:r>
        <w:rPr>
          <w:rFonts w:hint="eastAsia" w:ascii="宋体" w:hAnsi="宋体" w:eastAsia="宋体" w:cs="宋体"/>
          <w:sz w:val="24"/>
          <w:szCs w:val="24"/>
          <w:highlight w:val="none"/>
        </w:rPr>
        <w:fldChar w:fldCharType="end"/>
      </w:r>
    </w:p>
    <w:p>
      <w:pPr>
        <w:numPr>
          <w:ilvl w:val="0"/>
          <w:numId w:val="0"/>
        </w:numPr>
        <w:shd w:val="clear"/>
        <w:spacing w:line="400" w:lineRule="exact"/>
        <w:ind w:firstLine="480" w:firstLineChars="200"/>
        <w:rPr>
          <w:rFonts w:hint="eastAsia" w:ascii="宋体" w:hAnsi="宋体" w:eastAsia="宋体" w:cs="宋体"/>
          <w:spacing w:val="0"/>
          <w:sz w:val="24"/>
          <w:szCs w:val="24"/>
          <w:highlight w:val="none"/>
          <w:lang w:eastAsia="zh-CN"/>
        </w:rPr>
      </w:pP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2</w:t>
      </w:r>
      <w:r>
        <w:rPr>
          <w:rFonts w:hint="eastAsia" w:ascii="宋体" w:hAnsi="宋体" w:cs="宋体"/>
          <w:spacing w:val="0"/>
          <w:sz w:val="24"/>
          <w:szCs w:val="24"/>
          <w:highlight w:val="none"/>
          <w:lang w:eastAsia="zh-CN"/>
        </w:rPr>
        <w:t>）</w:t>
      </w:r>
      <w:r>
        <w:rPr>
          <w:rFonts w:hint="eastAsia" w:ascii="宋体" w:hAnsi="宋体" w:eastAsia="宋体" w:cs="宋体"/>
          <w:spacing w:val="0"/>
          <w:sz w:val="24"/>
          <w:szCs w:val="24"/>
          <w:highlight w:val="none"/>
        </w:rPr>
        <w:t>在</w:t>
      </w:r>
      <w:r>
        <w:rPr>
          <w:rFonts w:hint="eastAsia" w:ascii="宋体" w:hAnsi="宋体" w:cs="宋体"/>
          <w:sz w:val="24"/>
          <w:szCs w:val="24"/>
          <w:highlight w:val="none"/>
          <w:lang w:val="en-US" w:eastAsia="zh-CN"/>
        </w:rPr>
        <w:t>比选</w:t>
      </w:r>
      <w:r>
        <w:rPr>
          <w:rFonts w:hint="eastAsia" w:ascii="宋体" w:hAnsi="宋体" w:eastAsia="宋体" w:cs="宋体"/>
          <w:sz w:val="24"/>
          <w:szCs w:val="24"/>
          <w:highlight w:val="none"/>
        </w:rPr>
        <w:t>文件发售期内</w:t>
      </w:r>
      <w:r>
        <w:rPr>
          <w:rFonts w:hint="eastAsia" w:ascii="宋体" w:hAnsi="宋体" w:eastAsia="宋体" w:cs="宋体"/>
          <w:spacing w:val="0"/>
          <w:sz w:val="24"/>
          <w:szCs w:val="24"/>
          <w:highlight w:val="none"/>
          <w:lang w:val="en-US" w:eastAsia="zh-CN"/>
        </w:rPr>
        <w:t>报名</w:t>
      </w:r>
      <w:r>
        <w:rPr>
          <w:rFonts w:hint="eastAsia" w:ascii="宋体" w:hAnsi="宋体" w:eastAsia="宋体" w:cs="宋体"/>
          <w:spacing w:val="0"/>
          <w:sz w:val="24"/>
          <w:szCs w:val="24"/>
          <w:highlight w:val="none"/>
        </w:rPr>
        <w:t>的供应商，其</w:t>
      </w:r>
      <w:r>
        <w:rPr>
          <w:rFonts w:hint="eastAsia" w:ascii="宋体" w:hAnsi="宋体" w:eastAsia="宋体" w:cs="宋体"/>
          <w:spacing w:val="0"/>
          <w:sz w:val="24"/>
          <w:szCs w:val="24"/>
          <w:highlight w:val="none"/>
          <w:lang w:val="en-US" w:eastAsia="zh-CN"/>
        </w:rPr>
        <w:t>响应文件</w:t>
      </w:r>
      <w:r>
        <w:rPr>
          <w:rFonts w:hint="eastAsia" w:ascii="宋体" w:hAnsi="宋体" w:eastAsia="宋体" w:cs="宋体"/>
          <w:spacing w:val="0"/>
          <w:sz w:val="24"/>
          <w:szCs w:val="24"/>
          <w:highlight w:val="none"/>
        </w:rPr>
        <w:t>才被接收</w:t>
      </w:r>
      <w:r>
        <w:rPr>
          <w:rFonts w:hint="eastAsia" w:ascii="宋体" w:hAnsi="宋体" w:eastAsia="宋体" w:cs="宋体"/>
          <w:spacing w:val="0"/>
          <w:sz w:val="24"/>
          <w:szCs w:val="24"/>
          <w:highlight w:val="none"/>
          <w:lang w:eastAsia="zh-CN"/>
        </w:rPr>
        <w:t>。</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）递交响应文件地点：</w:t>
      </w:r>
      <w:r>
        <w:rPr>
          <w:rFonts w:hint="eastAsia" w:ascii="宋体" w:hAnsi="宋体" w:cs="宋体"/>
          <w:sz w:val="24"/>
          <w:szCs w:val="24"/>
          <w:highlight w:val="none"/>
          <w:lang w:val="en-US" w:eastAsia="zh-CN"/>
        </w:rPr>
        <w:t>重庆市</w:t>
      </w:r>
      <w:r>
        <w:rPr>
          <w:rFonts w:hint="eastAsia" w:ascii="宋体" w:hAnsi="宋体" w:cs="宋体"/>
          <w:sz w:val="24"/>
          <w:szCs w:val="24"/>
          <w:highlight w:val="none"/>
          <w:lang w:eastAsia="zh-CN"/>
        </w:rPr>
        <w:t>两江新区龙景路1号（重庆园博园主展馆一楼会议室）</w:t>
      </w:r>
      <w:r>
        <w:rPr>
          <w:rFonts w:hint="eastAsia" w:asciiTheme="minorEastAsia" w:hAnsiTheme="minorEastAsia" w:eastAsiaTheme="minorEastAsia" w:cstheme="minorEastAsia"/>
          <w:color w:val="auto"/>
          <w:sz w:val="24"/>
          <w:szCs w:val="24"/>
          <w:highlight w:val="none"/>
        </w:rPr>
        <w:t>。</w:t>
      </w:r>
    </w:p>
    <w:p>
      <w:pPr>
        <w:shd w:val="clea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）响应文件递交开始时间：202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9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29  </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09:30  </w:t>
      </w:r>
    </w:p>
    <w:p>
      <w:pPr>
        <w:shd w:val="clea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）响应文件递交截止时间：202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9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29 </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10:00  </w:t>
      </w:r>
    </w:p>
    <w:p>
      <w:pPr>
        <w:shd w:val="clear"/>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）比选开始时间：202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9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29 </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 xml:space="preserve">10:00 </w:t>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33" w:name="_Toc22111"/>
      <w:bookmarkEnd w:id="33"/>
      <w:bookmarkStart w:id="34" w:name="_Toc30895"/>
      <w:bookmarkEnd w:id="34"/>
      <w:bookmarkStart w:id="35" w:name="_Toc23960"/>
      <w:bookmarkEnd w:id="35"/>
      <w:bookmarkStart w:id="36" w:name="_Toc12663"/>
      <w:bookmarkEnd w:id="36"/>
      <w:bookmarkStart w:id="37" w:name="_Toc15717"/>
      <w:bookmarkEnd w:id="37"/>
      <w:bookmarkStart w:id="38" w:name="_Toc9290"/>
      <w:bookmarkEnd w:id="38"/>
      <w:bookmarkStart w:id="39" w:name="_Toc18100"/>
      <w:bookmarkEnd w:id="39"/>
      <w:bookmarkStart w:id="40" w:name="_Toc11844"/>
      <w:bookmarkEnd w:id="40"/>
      <w:bookmarkStart w:id="41" w:name="_Toc75793500"/>
      <w:bookmarkEnd w:id="41"/>
      <w:bookmarkStart w:id="42" w:name="_Toc524"/>
      <w:bookmarkEnd w:id="42"/>
      <w:bookmarkStart w:id="43" w:name="_Toc12090"/>
      <w:bookmarkEnd w:id="43"/>
      <w:bookmarkStart w:id="44" w:name="_Toc106030376"/>
      <w:bookmarkEnd w:id="44"/>
      <w:bookmarkStart w:id="45" w:name="_Toc7836"/>
      <w:bookmarkEnd w:id="45"/>
      <w:bookmarkStart w:id="46" w:name="_Toc3476"/>
      <w:bookmarkEnd w:id="46"/>
      <w:bookmarkStart w:id="47" w:name="_Toc25854"/>
      <w:bookmarkEnd w:id="47"/>
      <w:bookmarkStart w:id="48" w:name="_Toc3575"/>
      <w:bookmarkStart w:id="49" w:name="_Toc25502"/>
      <w:bookmarkStart w:id="50" w:name="_Toc15409"/>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保证金</w:t>
      </w:r>
      <w:bookmarkEnd w:id="48"/>
      <w:bookmarkEnd w:id="49"/>
      <w:bookmarkEnd w:id="50"/>
    </w:p>
    <w:bookmarkEnd w:id="26"/>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bookmarkStart w:id="51" w:name="_Toc12747"/>
      <w:bookmarkEnd w:id="51"/>
      <w:bookmarkStart w:id="52" w:name="_Toc373860294"/>
      <w:bookmarkEnd w:id="52"/>
      <w:bookmarkStart w:id="53" w:name="_Toc480466699"/>
      <w:bookmarkEnd w:id="53"/>
      <w:bookmarkStart w:id="54" w:name="_Toc106030875"/>
      <w:bookmarkEnd w:id="54"/>
      <w:bookmarkStart w:id="55" w:name="_Toc480466698"/>
      <w:bookmarkEnd w:id="55"/>
      <w:bookmarkStart w:id="56" w:name="_Toc106030876"/>
      <w:bookmarkEnd w:id="56"/>
      <w:bookmarkStart w:id="57" w:name="_Toc76462322"/>
      <w:bookmarkEnd w:id="57"/>
      <w:bookmarkStart w:id="58" w:name="_Toc11939"/>
      <w:bookmarkEnd w:id="58"/>
      <w:bookmarkStart w:id="59" w:name="_Toc479668114"/>
      <w:bookmarkEnd w:id="59"/>
      <w:bookmarkStart w:id="60" w:name="_Toc76462321"/>
      <w:bookmarkEnd w:id="60"/>
      <w:bookmarkStart w:id="61" w:name="_Toc28996"/>
      <w:bookmarkStart w:id="62" w:name="_Toc5159"/>
      <w:r>
        <w:rPr>
          <w:rFonts w:hint="eastAsia" w:asciiTheme="minorEastAsia" w:hAnsiTheme="minorEastAsia" w:eastAsiaTheme="minorEastAsia" w:cstheme="minorEastAsia"/>
          <w:color w:val="auto"/>
          <w:sz w:val="24"/>
          <w:szCs w:val="24"/>
          <w:highlight w:val="none"/>
          <w:lang w:val="en-US" w:eastAsia="zh-CN"/>
        </w:rPr>
        <w:t>（一）比选保证金的金额</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本项目要求供应商递交比选保证金：人民币10000元（大写：壹万元整）。</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（二）比选保证金递交时间：递交响应文件的同时向比选人递交比选保证金。</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（三）比选保证金的缴纳形式：各供应商将比选保证金(</w:t>
      </w:r>
      <w:r>
        <w:rPr>
          <w:rFonts w:hint="eastAsia" w:asciiTheme="minorEastAsia" w:hAnsiTheme="minorEastAsia" w:eastAsiaTheme="minorEastAsia" w:cstheme="minorEastAsia"/>
          <w:b/>
          <w:bCs/>
          <w:color w:val="auto"/>
          <w:sz w:val="24"/>
          <w:szCs w:val="24"/>
          <w:highlight w:val="none"/>
          <w:lang w:val="en-US" w:eastAsia="zh-CN"/>
        </w:rPr>
        <w:t>现金</w:t>
      </w:r>
      <w:r>
        <w:rPr>
          <w:rFonts w:hint="eastAsia" w:asciiTheme="minorEastAsia" w:hAnsiTheme="minorEastAsia" w:eastAsiaTheme="minorEastAsia" w:cstheme="minorEastAsia"/>
          <w:color w:val="auto"/>
          <w:sz w:val="24"/>
          <w:szCs w:val="24"/>
          <w:highlight w:val="none"/>
          <w:lang w:val="en-US" w:eastAsia="zh-CN"/>
        </w:rPr>
        <w:t>)自行密封并注明项目名称、供应商名称、联系人、联系电话后加盖供应商单位公章。</w:t>
      </w:r>
    </w:p>
    <w:p>
      <w:pPr>
        <w:shd w:val="clea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（四）退还方式</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评选结束后，比选人将退还除成交供应商以外的供应商的比选保证金，合同签订后无息退还成交供应商的比选保证金。</w:t>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3" w:name="_Toc2811"/>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、其它有关规定</w:t>
      </w:r>
      <w:bookmarkEnd w:id="61"/>
      <w:bookmarkEnd w:id="62"/>
      <w:bookmarkEnd w:id="63"/>
    </w:p>
    <w:p>
      <w:pPr>
        <w:shd w:val="clea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（一）单位负责人为同一人或者存在直接控股、管理关系的不同供应商，不得参加同一合同项（包）下的政府采购活动，否则均为无效响应。</w:t>
      </w:r>
    </w:p>
    <w:p>
      <w:pPr>
        <w:keepNext w:val="0"/>
        <w:keepLines w:val="0"/>
        <w:pageBreakBefore w:val="0"/>
        <w:widowControl w:val="0"/>
        <w:shd w:val="clear"/>
        <w:kinsoku/>
        <w:wordWrap w:val="0"/>
        <w:overflowPunct/>
        <w:topLinePunct w:val="0"/>
        <w:autoSpaceDE/>
        <w:autoSpaceDN/>
        <w:bidi w:val="0"/>
        <w:adjustRightInd/>
        <w:snapToGrid w:val="0"/>
        <w:spacing w:line="400" w:lineRule="exact"/>
        <w:ind w:firstLine="360" w:firstLineChars="15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（二）为采购项目提供整体设计、规范编制或者项目管理、监理、检测等服务的供应商，不得再参加该采购项目的其他采购活动</w:t>
      </w:r>
      <w:r>
        <w:rPr>
          <w:rFonts w:hint="eastAsia" w:ascii="宋体" w:hAnsi="宋体" w:cs="宋体"/>
          <w:sz w:val="24"/>
          <w:szCs w:val="24"/>
          <w:highlight w:val="none"/>
          <w:lang w:eastAsia="zh-CN"/>
        </w:rPr>
        <w:t>。</w:t>
      </w:r>
    </w:p>
    <w:p>
      <w:pPr>
        <w:keepNext w:val="0"/>
        <w:keepLines w:val="0"/>
        <w:pageBreakBefore w:val="0"/>
        <w:widowControl w:val="0"/>
        <w:shd w:val="clear"/>
        <w:kinsoku/>
        <w:wordWrap w:val="0"/>
        <w:overflowPunct/>
        <w:topLinePunct w:val="0"/>
        <w:autoSpaceDE/>
        <w:autoSpaceDN/>
        <w:bidi w:val="0"/>
        <w:adjustRightInd/>
        <w:snapToGrid w:val="0"/>
        <w:spacing w:line="40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）本项目的澄清文件（如果有）一律在</w:t>
      </w:r>
      <w:r>
        <w:rPr>
          <w:rFonts w:hint="eastAsia" w:ascii="宋体" w:hAnsi="宋体" w:eastAsia="宋体" w:cs="宋体"/>
          <w:sz w:val="24"/>
          <w:szCs w:val="24"/>
          <w:highlight w:val="none"/>
          <w:lang w:eastAsia="zh-CN"/>
        </w:rPr>
        <w:t>“重庆</w:t>
      </w:r>
      <w:r>
        <w:rPr>
          <w:rFonts w:hint="eastAsia" w:ascii="宋体" w:hAnsi="宋体" w:eastAsia="宋体" w:cs="宋体"/>
          <w:sz w:val="24"/>
          <w:szCs w:val="24"/>
          <w:highlight w:val="none"/>
          <w:lang w:val="en-US" w:eastAsia="zh-CN"/>
        </w:rPr>
        <w:t>园博园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（http://www.cqybh2011.com/cqyby/index.html）</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lang w:val="en-US" w:eastAsia="zh-CN"/>
        </w:rPr>
        <w:t>“中国采购与招标网”（https://www.chinabidding.com.cn/）</w:t>
      </w:r>
      <w:r>
        <w:rPr>
          <w:rFonts w:hint="eastAsia" w:asciiTheme="minorEastAsia" w:hAnsiTheme="minorEastAsia" w:eastAsiaTheme="minorEastAsia" w:cstheme="minorEastAsia"/>
          <w:color w:val="auto"/>
          <w:sz w:val="24"/>
          <w:szCs w:val="24"/>
          <w:highlight w:val="none"/>
        </w:rPr>
        <w:t>上发布，请各供应商注意下载；无论供应商下载与否，均视同供应商已知晓本项目澄清文件（如果有）的内容。</w:t>
      </w:r>
    </w:p>
    <w:p>
      <w:pPr>
        <w:shd w:val="clea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）超过响应文件递交截止时间递交的响应文件，恕不接收。</w:t>
      </w:r>
    </w:p>
    <w:p>
      <w:pPr>
        <w:shd w:val="clea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）比选费用：无论比选结果如何，供应商参与本项目比选的所有费用均应由供应商自行承担。</w:t>
      </w:r>
    </w:p>
    <w:p>
      <w:pPr>
        <w:shd w:val="clea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rPr>
        <w:t>）</w:t>
      </w:r>
      <w:r>
        <w:rPr>
          <w:rFonts w:hint="eastAsia" w:ascii="宋体" w:hAnsi="宋体" w:cs="宋体"/>
          <w:b/>
          <w:color w:val="auto"/>
          <w:sz w:val="24"/>
          <w:szCs w:val="24"/>
          <w:highlight w:val="none"/>
        </w:rPr>
        <w:t>本项目不接受联合体参与</w:t>
      </w:r>
      <w:r>
        <w:rPr>
          <w:rFonts w:hint="eastAsia" w:ascii="宋体" w:hAnsi="宋体" w:cs="宋体"/>
          <w:b/>
          <w:color w:val="auto"/>
          <w:sz w:val="24"/>
          <w:szCs w:val="24"/>
          <w:highlight w:val="none"/>
          <w:lang w:val="en-US" w:eastAsia="zh-CN"/>
        </w:rPr>
        <w:t>比选</w:t>
      </w:r>
      <w:r>
        <w:rPr>
          <w:rFonts w:hint="eastAsia" w:ascii="宋体" w:hAnsi="宋体" w:cs="宋体"/>
          <w:b/>
          <w:color w:val="auto"/>
          <w:sz w:val="24"/>
          <w:szCs w:val="24"/>
          <w:highlight w:val="none"/>
        </w:rPr>
        <w:t>，否则按无效处理。</w:t>
      </w:r>
    </w:p>
    <w:p>
      <w:pPr>
        <w:shd w:val="clea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）本项目不接受合同分包，否则按无效处理。</w:t>
      </w:r>
    </w:p>
    <w:p>
      <w:pPr>
        <w:shd w:val="clea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w:t>
      </w:r>
      <w:bookmarkStart w:id="64" w:name="_Toc480466700"/>
      <w:r>
        <w:rPr>
          <w:rFonts w:hint="eastAsia" w:asciiTheme="minorEastAsia" w:hAnsiTheme="minorEastAsia" w:eastAsiaTheme="minorEastAsia" w:cstheme="minorEastAsia"/>
          <w:color w:val="auto"/>
          <w:sz w:val="24"/>
          <w:szCs w:val="24"/>
          <w:highlight w:val="none"/>
        </w:rPr>
        <w:t>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项目采购活动。</w:t>
      </w:r>
    </w:p>
    <w:bookmarkEnd w:id="64"/>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65" w:name="_Toc32225"/>
      <w:bookmarkEnd w:id="65"/>
      <w:bookmarkStart w:id="66" w:name="_Toc76462323"/>
      <w:bookmarkEnd w:id="66"/>
      <w:bookmarkStart w:id="67" w:name="_Toc106030877"/>
      <w:bookmarkEnd w:id="67"/>
      <w:bookmarkStart w:id="68" w:name="_Toc1504"/>
      <w:bookmarkStart w:id="69" w:name="_Toc3054"/>
      <w:bookmarkStart w:id="70" w:name="_Toc31248"/>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、联系方式</w:t>
      </w:r>
      <w:bookmarkEnd w:id="68"/>
      <w:bookmarkEnd w:id="69"/>
      <w:bookmarkEnd w:id="70"/>
    </w:p>
    <w:p>
      <w:pPr>
        <w:shd w:val="clea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重庆市园博园管理处</w:t>
      </w:r>
    </w:p>
    <w:p>
      <w:pPr>
        <w:shd w:val="clea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胥</w:t>
      </w:r>
      <w:r>
        <w:rPr>
          <w:rFonts w:hint="eastAsia" w:ascii="宋体" w:hAnsi="宋体" w:eastAsia="宋体" w:cs="宋体"/>
          <w:sz w:val="24"/>
          <w:szCs w:val="24"/>
          <w:highlight w:val="none"/>
        </w:rPr>
        <w:t>老师</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szCs w:val="24"/>
          <w:highlight w:val="none"/>
        </w:rPr>
        <w:t>电  话：023-</w:t>
      </w:r>
      <w:r>
        <w:rPr>
          <w:rFonts w:hint="eastAsia" w:ascii="宋体" w:hAnsi="宋体" w:eastAsia="宋体" w:cs="宋体"/>
          <w:sz w:val="24"/>
          <w:szCs w:val="24"/>
          <w:highlight w:val="none"/>
          <w:lang w:val="en-US" w:eastAsia="zh-CN"/>
        </w:rPr>
        <w:t>63086109</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地  址：</w:t>
      </w:r>
      <w:r>
        <w:rPr>
          <w:rFonts w:hint="eastAsia" w:ascii="宋体" w:hAnsi="宋体" w:cs="宋体"/>
          <w:color w:val="auto"/>
          <w:sz w:val="24"/>
          <w:szCs w:val="24"/>
          <w:highlight w:val="none"/>
        </w:rPr>
        <w:t>重庆市两江新区龙景路1号</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pPr>
        <w:shd w:val="clea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华春建设工程项目管理有限责任公司</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温老师</w:t>
      </w:r>
    </w:p>
    <w:p>
      <w:pPr>
        <w:shd w:val="clea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lang w:val="en-US" w:eastAsia="zh-CN"/>
        </w:rPr>
        <w:t>023-86394748</w:t>
      </w:r>
    </w:p>
    <w:p>
      <w:pPr>
        <w:shd w:val="clear"/>
        <w:snapToGrid w:val="0"/>
        <w:spacing w:line="400" w:lineRule="exact"/>
        <w:ind w:firstLine="48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重庆市江北区建新东路82号</w:t>
      </w:r>
    </w:p>
    <w:p>
      <w:pPr>
        <w:shd w:val="clear"/>
        <w:snapToGrid w:val="0"/>
        <w:spacing w:line="420" w:lineRule="exact"/>
        <w:ind w:firstLine="964"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bookmarkEnd w:id="282"/>
    <w:p>
      <w:pPr>
        <w:pStyle w:val="3"/>
        <w:shd w:val="clear"/>
        <w:rPr>
          <w:rFonts w:hAnsi="宋体" w:cs="宋体"/>
          <w:sz w:val="24"/>
          <w:szCs w:val="24"/>
          <w:highlight w:val="none"/>
        </w:rPr>
      </w:pPr>
      <w:bookmarkStart w:id="71" w:name="_Toc106030878"/>
      <w:bookmarkEnd w:id="71"/>
      <w:bookmarkStart w:id="72" w:name="_Toc3523"/>
      <w:bookmarkEnd w:id="72"/>
      <w:bookmarkStart w:id="73" w:name="_Toc76462324"/>
      <w:bookmarkEnd w:id="73"/>
      <w:bookmarkStart w:id="74" w:name="_Toc21696"/>
      <w:bookmarkStart w:id="75" w:name="_Toc26914"/>
      <w:r>
        <w:rPr>
          <w:rFonts w:hint="eastAsia" w:hAnsi="宋体" w:cs="宋体"/>
          <w:sz w:val="24"/>
          <w:szCs w:val="24"/>
          <w:highlight w:val="none"/>
        </w:rPr>
        <w:t>附件</w:t>
      </w:r>
      <w:bookmarkEnd w:id="74"/>
      <w:bookmarkEnd w:id="75"/>
    </w:p>
    <w:p>
      <w:pPr>
        <w:shd w:val="clear"/>
        <w:rPr>
          <w:rFonts w:ascii="宋体" w:hAnsi="宋体" w:cs="宋体"/>
          <w:b/>
          <w:sz w:val="24"/>
          <w:szCs w:val="24"/>
          <w:highlight w:val="none"/>
        </w:rPr>
      </w:pPr>
    </w:p>
    <w:p>
      <w:pPr>
        <w:shd w:val="clear"/>
        <w:jc w:val="center"/>
        <w:rPr>
          <w:rFonts w:ascii="宋体" w:hAnsi="宋体" w:cs="宋体"/>
          <w:b/>
          <w:bCs/>
          <w:sz w:val="44"/>
          <w:szCs w:val="44"/>
          <w:highlight w:val="none"/>
        </w:rPr>
      </w:pPr>
      <w:r>
        <w:rPr>
          <w:rFonts w:hint="eastAsia" w:ascii="宋体" w:hAnsi="宋体" w:cs="宋体"/>
          <w:b/>
          <w:bCs/>
          <w:sz w:val="44"/>
          <w:szCs w:val="44"/>
          <w:highlight w:val="none"/>
          <w:lang w:eastAsia="zh-CN"/>
        </w:rPr>
        <w:t>比选文件发售登记表</w:t>
      </w:r>
    </w:p>
    <w:p>
      <w:pPr>
        <w:shd w:val="clear"/>
        <w:jc w:val="left"/>
        <w:rPr>
          <w:rFonts w:ascii="宋体" w:hAnsi="宋体" w:cs="宋体"/>
          <w:b/>
          <w:bCs/>
          <w:spacing w:val="40"/>
          <w:highlight w:val="none"/>
        </w:rPr>
      </w:pPr>
    </w:p>
    <w:tbl>
      <w:tblPr>
        <w:tblStyle w:val="60"/>
        <w:tblW w:w="0" w:type="auto"/>
        <w:tblInd w:w="-17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129"/>
        <w:gridCol w:w="1528"/>
        <w:gridCol w:w="40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9782" w:type="dxa"/>
            <w:gridSpan w:val="4"/>
            <w:vAlign w:val="center"/>
          </w:tcPr>
          <w:p>
            <w:pPr>
              <w:shd w:val="clear"/>
              <w:jc w:val="left"/>
              <w:rPr>
                <w:rFonts w:ascii="宋体" w:hAnsi="宋体" w:cs="宋体"/>
                <w:sz w:val="24"/>
                <w:szCs w:val="24"/>
                <w:highlight w:val="none"/>
              </w:rPr>
            </w:pPr>
            <w:r>
              <w:rPr>
                <w:rFonts w:hint="eastAsia" w:ascii="宋体" w:hAnsi="宋体" w:cs="宋体"/>
                <w:sz w:val="24"/>
                <w:szCs w:val="24"/>
                <w:highlight w:val="none"/>
              </w:rPr>
              <w:t>项目编号：</w:t>
            </w:r>
          </w:p>
          <w:p>
            <w:pPr>
              <w:shd w:val="clear"/>
              <w:jc w:val="left"/>
              <w:rPr>
                <w:rFonts w:ascii="宋体" w:hAnsi="宋体" w:cs="宋体"/>
                <w:sz w:val="24"/>
                <w:szCs w:val="24"/>
                <w:highlight w:val="none"/>
              </w:rPr>
            </w:pPr>
            <w:r>
              <w:rPr>
                <w:rFonts w:hint="eastAsia" w:ascii="宋体" w:hAnsi="宋体" w:cs="宋体"/>
                <w:sz w:val="24"/>
                <w:szCs w:val="24"/>
                <w:highlight w:val="none"/>
              </w:rPr>
              <w:t>项目名称：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124" w:type="dxa"/>
            <w:vAlign w:val="center"/>
          </w:tcPr>
          <w:p>
            <w:pPr>
              <w:shd w:val="clear"/>
              <w:spacing w:line="360" w:lineRule="exact"/>
              <w:jc w:val="center"/>
              <w:rPr>
                <w:rFonts w:ascii="宋体" w:hAnsi="宋体" w:cs="宋体"/>
                <w:sz w:val="24"/>
                <w:szCs w:val="24"/>
                <w:highlight w:val="none"/>
              </w:rPr>
            </w:pPr>
            <w:r>
              <w:rPr>
                <w:rFonts w:hint="eastAsia" w:ascii="宋体" w:hAnsi="宋体" w:cs="宋体"/>
                <w:sz w:val="24"/>
                <w:szCs w:val="24"/>
                <w:highlight w:val="none"/>
              </w:rPr>
              <w:t>供应商名称</w:t>
            </w:r>
          </w:p>
        </w:tc>
        <w:tc>
          <w:tcPr>
            <w:tcW w:w="7658" w:type="dxa"/>
            <w:gridSpan w:val="3"/>
            <w:vAlign w:val="bottom"/>
          </w:tcPr>
          <w:p>
            <w:pPr>
              <w:shd w:val="clear"/>
              <w:spacing w:line="360" w:lineRule="exact"/>
              <w:jc w:val="right"/>
              <w:rPr>
                <w:rFonts w:ascii="宋体" w:hAnsi="宋体" w:cs="宋体"/>
                <w:sz w:val="24"/>
                <w:szCs w:val="24"/>
                <w:highlight w:val="none"/>
              </w:rPr>
            </w:pPr>
            <w:r>
              <w:rPr>
                <w:rFonts w:hint="eastAsia" w:ascii="宋体" w:hAnsi="宋体" w:cs="宋体"/>
                <w:sz w:val="24"/>
                <w:szCs w:val="24"/>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24" w:type="dxa"/>
            <w:vAlign w:val="center"/>
          </w:tcPr>
          <w:p>
            <w:pPr>
              <w:shd w:val="clear"/>
              <w:spacing w:line="360" w:lineRule="exact"/>
              <w:jc w:val="center"/>
              <w:rPr>
                <w:rFonts w:ascii="宋体" w:hAnsi="宋体" w:cs="宋体"/>
                <w:sz w:val="24"/>
                <w:szCs w:val="24"/>
                <w:highlight w:val="none"/>
              </w:rPr>
            </w:pPr>
            <w:r>
              <w:rPr>
                <w:rFonts w:hint="eastAsia" w:ascii="宋体" w:hAnsi="宋体" w:cs="宋体"/>
                <w:sz w:val="24"/>
                <w:szCs w:val="24"/>
                <w:highlight w:val="none"/>
              </w:rPr>
              <w:t>联系人</w:t>
            </w:r>
          </w:p>
        </w:tc>
        <w:tc>
          <w:tcPr>
            <w:tcW w:w="2129" w:type="dxa"/>
            <w:vAlign w:val="center"/>
          </w:tcPr>
          <w:p>
            <w:pPr>
              <w:shd w:val="clear"/>
              <w:spacing w:line="360" w:lineRule="exact"/>
              <w:jc w:val="left"/>
              <w:rPr>
                <w:rFonts w:ascii="宋体" w:hAnsi="宋体" w:cs="宋体"/>
                <w:sz w:val="24"/>
                <w:szCs w:val="24"/>
                <w:highlight w:val="none"/>
              </w:rPr>
            </w:pPr>
          </w:p>
        </w:tc>
        <w:tc>
          <w:tcPr>
            <w:tcW w:w="1528" w:type="dxa"/>
            <w:vAlign w:val="center"/>
          </w:tcPr>
          <w:p>
            <w:pPr>
              <w:shd w:val="clear"/>
              <w:spacing w:line="360" w:lineRule="exact"/>
              <w:jc w:val="left"/>
              <w:rPr>
                <w:rFonts w:ascii="宋体" w:hAnsi="宋体" w:cs="宋体"/>
                <w:sz w:val="24"/>
                <w:szCs w:val="24"/>
                <w:highlight w:val="none"/>
              </w:rPr>
            </w:pPr>
            <w:r>
              <w:rPr>
                <w:rFonts w:hint="eastAsia" w:ascii="宋体" w:hAnsi="宋体" w:cs="宋体"/>
                <w:sz w:val="24"/>
                <w:szCs w:val="24"/>
                <w:highlight w:val="none"/>
              </w:rPr>
              <w:t>手机</w:t>
            </w:r>
          </w:p>
        </w:tc>
        <w:tc>
          <w:tcPr>
            <w:tcW w:w="4001" w:type="dxa"/>
            <w:vAlign w:val="center"/>
          </w:tcPr>
          <w:p>
            <w:pPr>
              <w:shd w:val="clea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4" w:type="dxa"/>
            <w:vAlign w:val="center"/>
          </w:tcPr>
          <w:p>
            <w:pPr>
              <w:shd w:val="clear"/>
              <w:spacing w:line="360" w:lineRule="exact"/>
              <w:jc w:val="center"/>
              <w:rPr>
                <w:rFonts w:ascii="宋体" w:hAnsi="宋体" w:cs="宋体"/>
                <w:sz w:val="24"/>
                <w:szCs w:val="24"/>
                <w:highlight w:val="none"/>
              </w:rPr>
            </w:pPr>
            <w:r>
              <w:rPr>
                <w:rFonts w:hint="eastAsia" w:ascii="宋体" w:hAnsi="宋体" w:cs="宋体"/>
                <w:sz w:val="24"/>
                <w:szCs w:val="24"/>
                <w:highlight w:val="none"/>
              </w:rPr>
              <w:t>办公电话</w:t>
            </w:r>
          </w:p>
        </w:tc>
        <w:tc>
          <w:tcPr>
            <w:tcW w:w="2129" w:type="dxa"/>
            <w:vAlign w:val="center"/>
          </w:tcPr>
          <w:p>
            <w:pPr>
              <w:shd w:val="clear"/>
              <w:spacing w:line="360" w:lineRule="exact"/>
              <w:jc w:val="left"/>
              <w:rPr>
                <w:rFonts w:ascii="宋体" w:hAnsi="宋体" w:cs="宋体"/>
                <w:sz w:val="24"/>
                <w:szCs w:val="24"/>
                <w:highlight w:val="none"/>
              </w:rPr>
            </w:pPr>
          </w:p>
        </w:tc>
        <w:tc>
          <w:tcPr>
            <w:tcW w:w="1528" w:type="dxa"/>
            <w:vAlign w:val="center"/>
          </w:tcPr>
          <w:p>
            <w:pPr>
              <w:shd w:val="clear"/>
              <w:spacing w:line="360" w:lineRule="exact"/>
              <w:jc w:val="left"/>
              <w:rPr>
                <w:rFonts w:ascii="宋体" w:hAnsi="宋体" w:cs="宋体"/>
                <w:sz w:val="24"/>
                <w:szCs w:val="24"/>
                <w:highlight w:val="none"/>
              </w:rPr>
            </w:pPr>
            <w:r>
              <w:rPr>
                <w:rFonts w:hint="eastAsia" w:ascii="宋体" w:hAnsi="宋体" w:cs="宋体"/>
                <w:sz w:val="24"/>
                <w:szCs w:val="24"/>
                <w:highlight w:val="none"/>
              </w:rPr>
              <w:t>传真</w:t>
            </w:r>
          </w:p>
        </w:tc>
        <w:tc>
          <w:tcPr>
            <w:tcW w:w="4001" w:type="dxa"/>
            <w:vAlign w:val="center"/>
          </w:tcPr>
          <w:p>
            <w:pPr>
              <w:shd w:val="clea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4" w:type="dxa"/>
            <w:vAlign w:val="center"/>
          </w:tcPr>
          <w:p>
            <w:pPr>
              <w:shd w:val="clear"/>
              <w:spacing w:line="360" w:lineRule="exact"/>
              <w:jc w:val="center"/>
              <w:rPr>
                <w:rFonts w:ascii="宋体" w:hAnsi="宋体" w:cs="宋体"/>
                <w:sz w:val="24"/>
                <w:szCs w:val="24"/>
                <w:highlight w:val="none"/>
              </w:rPr>
            </w:pPr>
            <w:r>
              <w:rPr>
                <w:rFonts w:hint="eastAsia" w:ascii="宋体" w:hAnsi="宋体" w:cs="宋体"/>
                <w:sz w:val="24"/>
                <w:szCs w:val="24"/>
                <w:highlight w:val="none"/>
              </w:rPr>
              <w:t>邮箱</w:t>
            </w:r>
          </w:p>
        </w:tc>
        <w:tc>
          <w:tcPr>
            <w:tcW w:w="7658" w:type="dxa"/>
            <w:gridSpan w:val="3"/>
            <w:vAlign w:val="center"/>
          </w:tcPr>
          <w:p>
            <w:pPr>
              <w:shd w:val="clea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24" w:type="dxa"/>
            <w:vAlign w:val="center"/>
          </w:tcPr>
          <w:p>
            <w:pPr>
              <w:shd w:val="clear"/>
              <w:spacing w:line="360" w:lineRule="exact"/>
              <w:jc w:val="center"/>
              <w:rPr>
                <w:rFonts w:ascii="宋体" w:hAnsi="宋体" w:cs="宋体"/>
                <w:sz w:val="24"/>
                <w:szCs w:val="24"/>
                <w:highlight w:val="none"/>
              </w:rPr>
            </w:pPr>
            <w:r>
              <w:rPr>
                <w:rFonts w:hint="eastAsia" w:ascii="宋体" w:hAnsi="宋体" w:cs="宋体"/>
                <w:sz w:val="24"/>
                <w:szCs w:val="24"/>
                <w:highlight w:val="none"/>
              </w:rPr>
              <w:t>单位地址</w:t>
            </w:r>
          </w:p>
        </w:tc>
        <w:tc>
          <w:tcPr>
            <w:tcW w:w="7658" w:type="dxa"/>
            <w:gridSpan w:val="3"/>
            <w:vAlign w:val="center"/>
          </w:tcPr>
          <w:p>
            <w:pPr>
              <w:shd w:val="clear"/>
              <w:spacing w:line="360" w:lineRule="exact"/>
              <w:jc w:val="left"/>
              <w:rPr>
                <w:rFonts w:ascii="宋体" w:hAnsi="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782" w:type="dxa"/>
            <w:gridSpan w:val="4"/>
            <w:vAlign w:val="center"/>
          </w:tcPr>
          <w:p>
            <w:pPr>
              <w:shd w:val="clear"/>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温</w:t>
            </w:r>
            <w:r>
              <w:rPr>
                <w:rFonts w:hint="eastAsia" w:ascii="宋体" w:hAnsi="宋体" w:cs="宋体"/>
                <w:sz w:val="24"/>
                <w:szCs w:val="24"/>
                <w:highlight w:val="none"/>
              </w:rPr>
              <w:t>老师        电话：023-8639474</w:t>
            </w:r>
            <w:r>
              <w:rPr>
                <w:rFonts w:hint="eastAsia" w:ascii="宋体" w:hAnsi="宋体" w:cs="宋体"/>
                <w:sz w:val="24"/>
                <w:szCs w:val="24"/>
                <w:highlight w:val="none"/>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782" w:type="dxa"/>
            <w:gridSpan w:val="4"/>
            <w:vAlign w:val="center"/>
          </w:tcPr>
          <w:p>
            <w:pPr>
              <w:shd w:val="clear"/>
              <w:jc w:val="left"/>
              <w:rPr>
                <w:rFonts w:ascii="宋体" w:hAnsi="宋体" w:cs="宋体"/>
                <w:sz w:val="24"/>
                <w:szCs w:val="24"/>
                <w:highlight w:val="none"/>
              </w:rPr>
            </w:pPr>
            <w:r>
              <w:rPr>
                <w:rFonts w:hint="eastAsia" w:ascii="宋体" w:hAnsi="宋体" w:cs="宋体"/>
                <w:sz w:val="24"/>
                <w:szCs w:val="24"/>
                <w:highlight w:val="none"/>
                <w:lang w:val="en-US" w:eastAsia="zh-CN"/>
              </w:rPr>
              <w:t>比选文件发售期</w:t>
            </w:r>
            <w:r>
              <w:rPr>
                <w:rFonts w:hint="eastAsia" w:ascii="宋体" w:hAnsi="宋体" w:cs="宋体"/>
                <w:sz w:val="24"/>
                <w:szCs w:val="24"/>
                <w:highlight w:val="none"/>
              </w:rPr>
              <w:t>：</w:t>
            </w:r>
            <w:r>
              <w:rPr>
                <w:rFonts w:hint="eastAsia" w:ascii="宋体" w:hAnsi="宋体" w:cs="宋体"/>
                <w:sz w:val="24"/>
                <w:szCs w:val="24"/>
                <w:highlight w:val="none"/>
                <w:shd w:val="clear" w:fill="FFFFFF" w:themeFill="background1"/>
                <w:lang w:val="en-US" w:eastAsia="zh-CN"/>
              </w:rPr>
              <w:t>2025年9月24日-2025年9 月28日</w:t>
            </w:r>
          </w:p>
        </w:tc>
      </w:tr>
    </w:tbl>
    <w:p>
      <w:pPr>
        <w:shd w:val="clea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rPr>
        <w:t>未在规定时间内</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《比选文件发售登记表》发送至</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邮箱的供应商不具备</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资格</w:t>
      </w:r>
      <w:r>
        <w:rPr>
          <w:rFonts w:hint="eastAsia" w:asciiTheme="minorEastAsia" w:hAnsiTheme="minorEastAsia" w:eastAsiaTheme="minorEastAsia" w:cstheme="minorEastAsia"/>
          <w:color w:val="auto"/>
          <w:sz w:val="24"/>
          <w:szCs w:val="24"/>
          <w:highlight w:val="none"/>
          <w:lang w:eastAsia="zh-CN"/>
        </w:rPr>
        <w:t>。</w:t>
      </w:r>
    </w:p>
    <w:p>
      <w:pPr>
        <w:shd w:val="clear"/>
        <w:rPr>
          <w:rFonts w:hint="eastAsia" w:asciiTheme="minorEastAsia" w:hAnsiTheme="minorEastAsia" w:eastAsiaTheme="minorEastAsia" w:cstheme="minorEastAsia"/>
          <w:bCs/>
          <w:color w:val="auto"/>
          <w:sz w:val="36"/>
          <w:szCs w:val="30"/>
          <w:highlight w:val="none"/>
        </w:rPr>
      </w:pPr>
    </w:p>
    <w:p>
      <w:pPr>
        <w:pStyle w:val="59"/>
        <w:shd w:val="clear"/>
        <w:rPr>
          <w:rFonts w:hint="eastAsia" w:asciiTheme="minorEastAsia" w:hAnsiTheme="minorEastAsia" w:eastAsiaTheme="minorEastAsia" w:cstheme="minorEastAsia"/>
          <w:bCs/>
          <w:color w:val="auto"/>
          <w:sz w:val="36"/>
          <w:szCs w:val="30"/>
          <w:highlight w:val="none"/>
        </w:rPr>
      </w:pPr>
    </w:p>
    <w:p>
      <w:pPr>
        <w:shd w:val="clear"/>
        <w:rPr>
          <w:rFonts w:hint="eastAsia" w:asciiTheme="minorEastAsia" w:hAnsiTheme="minorEastAsia" w:eastAsiaTheme="minorEastAsia" w:cstheme="minorEastAsia"/>
          <w:bCs/>
          <w:color w:val="auto"/>
          <w:sz w:val="36"/>
          <w:szCs w:val="30"/>
          <w:highlight w:val="none"/>
        </w:rPr>
      </w:pPr>
    </w:p>
    <w:p>
      <w:pPr>
        <w:pStyle w:val="59"/>
        <w:shd w:val="clear"/>
        <w:rPr>
          <w:rFonts w:hint="eastAsia" w:asciiTheme="minorEastAsia" w:hAnsiTheme="minorEastAsia" w:eastAsiaTheme="minorEastAsia" w:cstheme="minorEastAsia"/>
          <w:bCs/>
          <w:color w:val="auto"/>
          <w:sz w:val="36"/>
          <w:szCs w:val="30"/>
          <w:highlight w:val="none"/>
        </w:rPr>
      </w:pPr>
    </w:p>
    <w:p>
      <w:pPr>
        <w:shd w:val="clear"/>
        <w:rPr>
          <w:rFonts w:hint="eastAsia" w:asciiTheme="minorEastAsia" w:hAnsiTheme="minorEastAsia" w:eastAsiaTheme="minorEastAsia" w:cstheme="minorEastAsia"/>
          <w:bCs/>
          <w:color w:val="auto"/>
          <w:sz w:val="36"/>
          <w:szCs w:val="30"/>
          <w:highlight w:val="none"/>
        </w:rPr>
      </w:pPr>
    </w:p>
    <w:p>
      <w:pPr>
        <w:pStyle w:val="59"/>
        <w:shd w:val="clear"/>
        <w:rPr>
          <w:rFonts w:hint="eastAsia" w:asciiTheme="minorEastAsia" w:hAnsiTheme="minorEastAsia" w:eastAsiaTheme="minorEastAsia" w:cstheme="minorEastAsia"/>
          <w:bCs/>
          <w:color w:val="auto"/>
          <w:sz w:val="36"/>
          <w:szCs w:val="30"/>
          <w:highlight w:val="none"/>
        </w:rPr>
      </w:pPr>
    </w:p>
    <w:p>
      <w:pPr>
        <w:shd w:val="clear"/>
        <w:rPr>
          <w:rFonts w:hint="eastAsia" w:asciiTheme="minorEastAsia" w:hAnsiTheme="minorEastAsia" w:eastAsiaTheme="minorEastAsia" w:cstheme="minorEastAsia"/>
          <w:bCs/>
          <w:color w:val="auto"/>
          <w:sz w:val="36"/>
          <w:szCs w:val="30"/>
          <w:highlight w:val="none"/>
        </w:rPr>
      </w:pPr>
    </w:p>
    <w:p>
      <w:pPr>
        <w:pStyle w:val="59"/>
        <w:shd w:val="clear"/>
        <w:rPr>
          <w:rFonts w:hint="eastAsia" w:asciiTheme="minorEastAsia" w:hAnsiTheme="minorEastAsia" w:eastAsiaTheme="minorEastAsia" w:cstheme="minorEastAsia"/>
          <w:bCs/>
          <w:color w:val="auto"/>
          <w:sz w:val="36"/>
          <w:szCs w:val="30"/>
          <w:highlight w:val="none"/>
        </w:rPr>
      </w:pPr>
    </w:p>
    <w:p>
      <w:pPr>
        <w:shd w:val="clear"/>
        <w:rPr>
          <w:rFonts w:hint="eastAsia"/>
          <w:highlight w:val="none"/>
        </w:rPr>
      </w:pPr>
    </w:p>
    <w:p>
      <w:pPr>
        <w:pStyle w:val="4"/>
        <w:shd w:val="clear"/>
        <w:spacing w:before="0" w:after="0" w:line="360" w:lineRule="auto"/>
        <w:jc w:val="center"/>
        <w:rPr>
          <w:rFonts w:hint="eastAsia" w:asciiTheme="minorEastAsia" w:hAnsiTheme="minorEastAsia" w:eastAsiaTheme="minorEastAsia" w:cstheme="minorEastAsia"/>
          <w:b w:val="0"/>
          <w:color w:val="auto"/>
          <w:sz w:val="30"/>
          <w:szCs w:val="30"/>
          <w:highlight w:val="none"/>
        </w:rPr>
      </w:pPr>
      <w:bookmarkStart w:id="76" w:name="_Toc20389"/>
      <w:bookmarkStart w:id="77" w:name="_Toc28796"/>
      <w:bookmarkStart w:id="78" w:name="_Toc31059"/>
      <w:r>
        <w:rPr>
          <w:rFonts w:hint="eastAsia" w:asciiTheme="minorEastAsia" w:hAnsiTheme="minorEastAsia" w:eastAsiaTheme="minorEastAsia" w:cstheme="minorEastAsia"/>
          <w:bCs/>
          <w:color w:val="auto"/>
          <w:sz w:val="36"/>
          <w:szCs w:val="30"/>
          <w:highlight w:val="none"/>
        </w:rPr>
        <w:t>第二篇  项目服务需求</w:t>
      </w:r>
      <w:bookmarkEnd w:id="76"/>
      <w:bookmarkEnd w:id="77"/>
      <w:bookmarkEnd w:id="78"/>
    </w:p>
    <w:p>
      <w:pPr>
        <w:pStyle w:val="4"/>
        <w:shd w:val="clear"/>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79" w:name="_Toc76462325"/>
      <w:bookmarkEnd w:id="79"/>
      <w:bookmarkStart w:id="80" w:name="_Toc14460"/>
      <w:bookmarkEnd w:id="80"/>
      <w:bookmarkStart w:id="81" w:name="_Toc106030879"/>
      <w:bookmarkEnd w:id="81"/>
      <w:bookmarkStart w:id="82" w:name="_Toc65660340"/>
      <w:bookmarkStart w:id="83" w:name="_Toc10723"/>
      <w:bookmarkStart w:id="84" w:name="_Toc106034780"/>
      <w:bookmarkStart w:id="85" w:name="_Toc11439"/>
      <w:bookmarkStart w:id="86" w:name="_Toc2119"/>
      <w:bookmarkStart w:id="87" w:name="_Toc23224"/>
      <w:bookmarkStart w:id="88" w:name="_Toc8186"/>
      <w:bookmarkStart w:id="89" w:name="_Toc30679"/>
      <w:bookmarkStart w:id="90" w:name="_Toc12789058"/>
      <w:r>
        <w:rPr>
          <w:rFonts w:hint="eastAsia" w:asciiTheme="minorEastAsia" w:hAnsiTheme="minorEastAsia" w:eastAsiaTheme="minorEastAsia" w:cstheme="minorEastAsia"/>
          <w:color w:val="auto"/>
          <w:sz w:val="24"/>
          <w:highlight w:val="none"/>
        </w:rPr>
        <w:t>一、项目概况</w:t>
      </w:r>
    </w:p>
    <w:p>
      <w:pPr>
        <w:shd w:val="clear"/>
        <w:kinsoku/>
        <w:wordWrap/>
        <w:overflowPunct/>
        <w:topLinePunct w:val="0"/>
        <w:autoSpaceDE/>
        <w:autoSpaceDN/>
        <w:bidi w:val="0"/>
        <w:snapToGrid w:val="0"/>
        <w:spacing w:line="360" w:lineRule="auto"/>
        <w:ind w:firstLine="480" w:firstLineChars="200"/>
        <w:jc w:val="left"/>
        <w:textAlignment w:val="auto"/>
        <w:rPr>
          <w:rFonts w:hint="eastAsia"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val="en-US" w:eastAsia="zh-CN"/>
        </w:rPr>
        <w:t>为了给游客提供更为丰富的服务，提升园区营商环境，丰富园区业态，提高游客吸引力，拟在重庆园博园开展“自助行李寄存柜”，</w:t>
      </w:r>
      <w:r>
        <w:rPr>
          <w:rFonts w:hint="eastAsia" w:ascii="宋体" w:hAnsi="宋体" w:cs="宋体"/>
          <w:b w:val="0"/>
          <w:bCs w:val="0"/>
          <w:color w:val="auto"/>
          <w:sz w:val="24"/>
          <w:szCs w:val="24"/>
          <w:highlight w:val="none"/>
          <w:vertAlign w:val="baseline"/>
          <w:lang w:val="en-US" w:eastAsia="zh-CN"/>
        </w:rPr>
        <w:t>根据工作安排，地点为重庆园博园主入口和东入口处</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eastAsia="宋体" w:cs="宋体"/>
          <w:b w:val="0"/>
          <w:bCs w:val="0"/>
          <w:color w:val="auto"/>
          <w:sz w:val="24"/>
          <w:szCs w:val="24"/>
          <w:highlight w:val="none"/>
          <w:vertAlign w:val="baseline"/>
        </w:rPr>
        <w:t>现将</w:t>
      </w:r>
      <w:r>
        <w:rPr>
          <w:rFonts w:hint="eastAsia" w:ascii="宋体" w:hAnsi="宋体" w:eastAsia="宋体" w:cs="宋体"/>
          <w:b w:val="0"/>
          <w:bCs w:val="0"/>
          <w:color w:val="auto"/>
          <w:sz w:val="24"/>
          <w:szCs w:val="24"/>
          <w:highlight w:val="none"/>
          <w:vertAlign w:val="baseline"/>
          <w:lang w:val="en-US" w:eastAsia="zh-CN"/>
        </w:rPr>
        <w:t>此项目</w:t>
      </w:r>
      <w:r>
        <w:rPr>
          <w:rFonts w:hint="eastAsia" w:ascii="宋体" w:hAnsi="宋体" w:eastAsia="宋体" w:cs="宋体"/>
          <w:b w:val="0"/>
          <w:bCs w:val="0"/>
          <w:color w:val="auto"/>
          <w:sz w:val="24"/>
          <w:szCs w:val="24"/>
          <w:highlight w:val="none"/>
          <w:vertAlign w:val="baseline"/>
        </w:rPr>
        <w:t>对外</w:t>
      </w:r>
      <w:r>
        <w:rPr>
          <w:rFonts w:hint="eastAsia" w:ascii="宋体" w:hAnsi="宋体" w:cs="宋体"/>
          <w:b w:val="0"/>
          <w:bCs w:val="0"/>
          <w:color w:val="auto"/>
          <w:sz w:val="24"/>
          <w:szCs w:val="24"/>
          <w:highlight w:val="none"/>
          <w:vertAlign w:val="baseline"/>
          <w:lang w:val="en-US" w:eastAsia="zh-CN"/>
        </w:rPr>
        <w:t>招商</w:t>
      </w:r>
      <w:r>
        <w:rPr>
          <w:rFonts w:hint="eastAsia" w:cs="宋体"/>
          <w:b w:val="0"/>
          <w:bCs w:val="0"/>
          <w:color w:val="auto"/>
          <w:sz w:val="24"/>
          <w:szCs w:val="24"/>
          <w:highlight w:val="none"/>
          <w:vertAlign w:val="baseline"/>
          <w:lang w:eastAsia="zh-CN"/>
        </w:rPr>
        <w:t>。</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2" w:firstLineChars="200"/>
        <w:jc w:val="both"/>
        <w:textAlignment w:val="baseline"/>
        <w:rPr>
          <w:rFonts w:hint="eastAsia" w:ascii="宋体" w:hAnsi="宋体" w:eastAsia="宋体" w:cs="宋体"/>
          <w:b/>
          <w:bCs/>
          <w:color w:val="auto"/>
          <w:sz w:val="24"/>
          <w:szCs w:val="24"/>
          <w:highlight w:val="none"/>
        </w:rPr>
      </w:pPr>
      <w:r>
        <w:rPr>
          <w:rFonts w:hint="eastAsia" w:cs="宋体"/>
          <w:b/>
          <w:bCs/>
          <w:color w:val="auto"/>
          <w:sz w:val="24"/>
          <w:szCs w:val="24"/>
          <w:highlight w:val="none"/>
          <w:vertAlign w:val="baseline"/>
          <w:lang w:val="en-US" w:eastAsia="zh-CN"/>
        </w:rPr>
        <w:t>二</w:t>
      </w:r>
      <w:r>
        <w:rPr>
          <w:rFonts w:hint="eastAsia" w:ascii="宋体" w:hAnsi="宋体" w:eastAsia="宋体" w:cs="宋体"/>
          <w:b/>
          <w:bCs/>
          <w:color w:val="auto"/>
          <w:sz w:val="24"/>
          <w:szCs w:val="24"/>
          <w:highlight w:val="none"/>
          <w:vertAlign w:val="baseline"/>
        </w:rPr>
        <w:t>、园区基本情况</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kern w:val="2"/>
          <w:sz w:val="24"/>
          <w:szCs w:val="24"/>
          <w:highlight w:val="none"/>
          <w:vertAlign w:val="baseline"/>
          <w:lang w:val="en-US" w:eastAsia="zh-CN" w:bidi="ar-SA"/>
        </w:rPr>
        <w:t>重庆园博园于2011年11月19日开园，开园至今接待游客共计</w:t>
      </w:r>
      <w:r>
        <w:rPr>
          <w:rFonts w:hint="eastAsia" w:cs="宋体"/>
          <w:b w:val="0"/>
          <w:bCs w:val="0"/>
          <w:kern w:val="2"/>
          <w:sz w:val="24"/>
          <w:szCs w:val="24"/>
          <w:highlight w:val="none"/>
          <w:vertAlign w:val="baseline"/>
          <w:lang w:val="en-US" w:eastAsia="zh-CN" w:bidi="ar-SA"/>
        </w:rPr>
        <w:t>3000多</w:t>
      </w:r>
      <w:r>
        <w:rPr>
          <w:rFonts w:hint="eastAsia" w:ascii="宋体" w:hAnsi="宋体" w:eastAsia="宋体" w:cs="宋体"/>
          <w:b w:val="0"/>
          <w:bCs w:val="0"/>
          <w:kern w:val="2"/>
          <w:sz w:val="24"/>
          <w:szCs w:val="24"/>
          <w:highlight w:val="none"/>
          <w:vertAlign w:val="baseline"/>
          <w:lang w:val="en-US" w:eastAsia="zh-CN" w:bidi="ar-SA"/>
        </w:rPr>
        <w:t>万人次。重庆园博园位于重庆两江新区核心区域，是第八届中国（重庆）国际园林博览会的会址，总面积2.2平方公里（其中水域0.53平方公里），汇集东西方园林精品，环境优美，交通便利，是一个集自然景观和人文景观为一体的超大型城市生态公园。</w:t>
      </w:r>
    </w:p>
    <w:p>
      <w:pPr>
        <w:pStyle w:val="4"/>
        <w:shd w:val="clear"/>
        <w:adjustRightInd w:val="0"/>
        <w:snapToGrid w:val="0"/>
        <w:spacing w:before="0" w:after="0" w:line="360" w:lineRule="auto"/>
        <w:ind w:firstLine="482" w:firstLineChars="200"/>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w:t>
      </w:r>
      <w:bookmarkEnd w:id="82"/>
      <w:bookmarkEnd w:id="83"/>
      <w:bookmarkEnd w:id="84"/>
      <w:bookmarkEnd w:id="85"/>
      <w:bookmarkEnd w:id="86"/>
      <w:r>
        <w:rPr>
          <w:rFonts w:hint="eastAsia" w:ascii="宋体" w:hAnsi="宋体" w:eastAsia="宋体" w:cs="宋体"/>
          <w:sz w:val="24"/>
          <w:highlight w:val="none"/>
          <w:lang w:val="en-US" w:eastAsia="zh-CN"/>
        </w:rPr>
        <w:t>合作模式及要求</w:t>
      </w:r>
    </w:p>
    <w:p>
      <w:pPr>
        <w:shd w:val="clear"/>
        <w:snapToGrid w:val="0"/>
        <w:spacing w:line="360" w:lineRule="auto"/>
        <w:ind w:firstLine="480" w:firstLineChars="200"/>
        <w:rPr>
          <w:rFonts w:hint="eastAsia" w:ascii="宋体" w:hAnsi="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（一）</w:t>
      </w:r>
      <w:r>
        <w:rPr>
          <w:rFonts w:hint="eastAsia" w:ascii="宋体" w:hAnsi="宋体" w:eastAsia="宋体" w:cs="宋体"/>
          <w:color w:val="auto"/>
          <w:sz w:val="24"/>
          <w:szCs w:val="24"/>
          <w:highlight w:val="none"/>
          <w:vertAlign w:val="baseline"/>
          <w:lang w:val="en-US" w:eastAsia="zh-CN"/>
        </w:rPr>
        <w:t>合作期限：5年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建设期</w:t>
      </w:r>
      <w:r>
        <w:rPr>
          <w:rFonts w:hint="eastAsia" w:ascii="宋体" w:hAnsi="宋体" w:eastAsia="宋体" w:cs="宋体"/>
          <w:color w:val="auto"/>
          <w:sz w:val="24"/>
          <w:szCs w:val="24"/>
          <w:highlight w:val="none"/>
          <w:vertAlign w:val="baseline"/>
          <w:lang w:val="en-US" w:eastAsia="zh-CN"/>
        </w:rPr>
        <w:t>不计入合同经营周期，</w:t>
      </w:r>
      <w:r>
        <w:rPr>
          <w:rFonts w:hint="eastAsia" w:ascii="宋体" w:hAnsi="宋体" w:cs="宋体"/>
          <w:color w:val="auto"/>
          <w:sz w:val="24"/>
          <w:szCs w:val="24"/>
          <w:highlight w:val="none"/>
          <w:lang w:val="en-US" w:eastAsia="zh-CN"/>
        </w:rPr>
        <w:t>建设期原则上不超过1个月</w:t>
      </w:r>
      <w:r>
        <w:rPr>
          <w:rFonts w:hint="eastAsia" w:ascii="宋体" w:hAnsi="宋体" w:cs="宋体"/>
          <w:color w:val="auto"/>
          <w:sz w:val="24"/>
          <w:szCs w:val="24"/>
          <w:highlight w:val="none"/>
        </w:rPr>
        <w:t>。</w:t>
      </w:r>
    </w:p>
    <w:p>
      <w:pPr>
        <w:numPr>
          <w:ilvl w:val="0"/>
          <w:numId w:val="0"/>
        </w:numPr>
        <w:shd w:val="clear"/>
        <w:snapToGrid w:val="0"/>
        <w:spacing w:line="360" w:lineRule="auto"/>
        <w:ind w:firstLine="480" w:firstLineChars="200"/>
        <w:jc w:val="left"/>
        <w:textAlignment w:val="auto"/>
        <w:outlineLvl w:val="9"/>
        <w:rPr>
          <w:rFonts w:hint="eastAsia" w:ascii="宋体" w:hAnsi="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（二）面积及具体地点：项目场所范围位于</w:t>
      </w:r>
      <w:r>
        <w:rPr>
          <w:rFonts w:hint="eastAsia" w:ascii="宋体" w:hAnsi="宋体" w:cs="宋体"/>
          <w:b w:val="0"/>
          <w:bCs w:val="0"/>
          <w:color w:val="auto"/>
          <w:sz w:val="24"/>
          <w:szCs w:val="24"/>
          <w:highlight w:val="none"/>
          <w:vertAlign w:val="baseline"/>
          <w:lang w:val="en-US" w:eastAsia="zh-CN"/>
        </w:rPr>
        <w:t>重庆园博园主入口和东入口处</w:t>
      </w:r>
      <w:r>
        <w:rPr>
          <w:rFonts w:hint="eastAsia" w:ascii="宋体" w:hAnsi="宋体" w:eastAsia="宋体" w:cs="宋体"/>
          <w:color w:val="auto"/>
          <w:sz w:val="24"/>
          <w:szCs w:val="24"/>
          <w:highlight w:val="none"/>
          <w:vertAlign w:val="baseline"/>
          <w:lang w:val="en-US" w:eastAsia="zh-CN"/>
        </w:rPr>
        <w:t>，约</w:t>
      </w:r>
      <w:r>
        <w:rPr>
          <w:rFonts w:hint="eastAsia" w:ascii="宋体" w:hAnsi="宋体" w:cs="宋体"/>
          <w:color w:val="auto"/>
          <w:sz w:val="24"/>
          <w:szCs w:val="24"/>
          <w:highlight w:val="none"/>
          <w:vertAlign w:val="baseline"/>
          <w:lang w:val="en-US" w:eastAsia="zh-CN"/>
        </w:rPr>
        <w:t>10</w:t>
      </w:r>
      <w:r>
        <w:rPr>
          <w:rFonts w:hint="eastAsia" w:ascii="宋体" w:hAnsi="宋体" w:eastAsia="宋体" w:cs="宋体"/>
          <w:color w:val="auto"/>
          <w:sz w:val="24"/>
          <w:szCs w:val="24"/>
          <w:highlight w:val="none"/>
          <w:vertAlign w:val="baseline"/>
          <w:lang w:val="en-US" w:eastAsia="zh-CN"/>
        </w:rPr>
        <w:t>平方米</w:t>
      </w:r>
      <w:r>
        <w:rPr>
          <w:rFonts w:hint="eastAsia" w:ascii="宋体" w:hAnsi="宋体" w:cs="宋体"/>
          <w:color w:val="auto"/>
          <w:sz w:val="24"/>
          <w:szCs w:val="24"/>
          <w:highlight w:val="none"/>
          <w:vertAlign w:val="baseline"/>
          <w:lang w:val="en-US" w:eastAsia="zh-CN"/>
        </w:rPr>
        <w:t>。</w:t>
      </w:r>
    </w:p>
    <w:p>
      <w:pPr>
        <w:numPr>
          <w:ilvl w:val="0"/>
          <w:numId w:val="0"/>
        </w:numPr>
        <w:shd w:val="clear"/>
        <w:snapToGrid w:val="0"/>
        <w:spacing w:line="360" w:lineRule="auto"/>
        <w:ind w:firstLine="480" w:firstLineChars="200"/>
        <w:jc w:val="left"/>
        <w:textAlignment w:val="auto"/>
        <w:outlineLvl w:val="9"/>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（三）成交供应商</w:t>
      </w:r>
      <w:r>
        <w:rPr>
          <w:rFonts w:hint="default" w:ascii="宋体" w:hAnsi="宋体" w:eastAsia="宋体" w:cs="宋体"/>
          <w:b w:val="0"/>
          <w:bCs w:val="0"/>
          <w:sz w:val="24"/>
          <w:szCs w:val="24"/>
          <w:highlight w:val="none"/>
          <w:vertAlign w:val="baseline"/>
          <w:lang w:val="en-US" w:eastAsia="zh-CN"/>
        </w:rPr>
        <w:t>提供具有扫码功能的寄存柜（小号存放小型背包,中号存放大型背包，大号存放行李箱，</w:t>
      </w:r>
      <w:r>
        <w:rPr>
          <w:rFonts w:hint="eastAsia" w:ascii="宋体" w:hAnsi="宋体" w:cs="宋体"/>
          <w:b w:val="0"/>
          <w:bCs w:val="0"/>
          <w:sz w:val="24"/>
          <w:szCs w:val="24"/>
          <w:highlight w:val="none"/>
          <w:vertAlign w:val="baseline"/>
          <w:lang w:val="en-US" w:eastAsia="zh-CN"/>
        </w:rPr>
        <w:t>每处</w:t>
      </w:r>
      <w:r>
        <w:rPr>
          <w:rFonts w:hint="default" w:ascii="宋体" w:hAnsi="宋体" w:eastAsia="宋体" w:cs="宋体"/>
          <w:b w:val="0"/>
          <w:bCs w:val="0"/>
          <w:sz w:val="24"/>
          <w:szCs w:val="24"/>
          <w:highlight w:val="none"/>
          <w:vertAlign w:val="baseline"/>
          <w:lang w:val="en-US" w:eastAsia="zh-CN"/>
        </w:rPr>
        <w:t>不少于</w:t>
      </w:r>
      <w:r>
        <w:rPr>
          <w:rFonts w:hint="eastAsia" w:ascii="宋体" w:hAnsi="宋体" w:cs="宋体"/>
          <w:b w:val="0"/>
          <w:bCs w:val="0"/>
          <w:sz w:val="24"/>
          <w:szCs w:val="24"/>
          <w:highlight w:val="none"/>
          <w:vertAlign w:val="baseline"/>
          <w:lang w:val="en-US" w:eastAsia="zh-CN"/>
        </w:rPr>
        <w:t>17</w:t>
      </w:r>
      <w:r>
        <w:rPr>
          <w:rFonts w:hint="default" w:ascii="宋体" w:hAnsi="宋体" w:eastAsia="宋体" w:cs="宋体"/>
          <w:b w:val="0"/>
          <w:bCs w:val="0"/>
          <w:sz w:val="24"/>
          <w:szCs w:val="24"/>
          <w:highlight w:val="none"/>
          <w:vertAlign w:val="baseline"/>
          <w:lang w:val="en-US" w:eastAsia="zh-CN"/>
        </w:rPr>
        <w:t>格</w:t>
      </w:r>
      <w:r>
        <w:rPr>
          <w:rFonts w:hint="eastAsia" w:ascii="宋体" w:hAnsi="宋体" w:cs="宋体"/>
          <w:b w:val="0"/>
          <w:bCs w:val="0"/>
          <w:sz w:val="24"/>
          <w:szCs w:val="24"/>
          <w:highlight w:val="none"/>
          <w:vertAlign w:val="baseline"/>
          <w:lang w:val="en-US" w:eastAsia="zh-CN"/>
        </w:rPr>
        <w:t>，共不少于34格</w:t>
      </w:r>
      <w:r>
        <w:rPr>
          <w:rFonts w:hint="default" w:ascii="宋体" w:hAnsi="宋体" w:eastAsia="宋体" w:cs="宋体"/>
          <w:b w:val="0"/>
          <w:bCs w:val="0"/>
          <w:sz w:val="24"/>
          <w:szCs w:val="24"/>
          <w:highlight w:val="none"/>
          <w:vertAlign w:val="baseline"/>
          <w:lang w:val="en-US" w:eastAsia="zh-CN"/>
        </w:rPr>
        <w:t>）</w:t>
      </w:r>
      <w:r>
        <w:rPr>
          <w:rFonts w:hint="eastAsia" w:ascii="宋体" w:hAnsi="宋体" w:eastAsia="宋体" w:cs="宋体"/>
          <w:b w:val="0"/>
          <w:bCs w:val="0"/>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自行负责经营场所的安全、卫生、设施设备的维修维护等，不允许进行转租或委托经营。</w:t>
      </w:r>
      <w:r>
        <w:rPr>
          <w:rFonts w:hint="eastAsia" w:ascii="宋体" w:hAnsi="宋体" w:cs="宋体"/>
          <w:b w:val="0"/>
          <w:bCs w:val="0"/>
          <w:sz w:val="24"/>
          <w:szCs w:val="24"/>
          <w:highlight w:val="none"/>
          <w:vertAlign w:val="baseline"/>
          <w:lang w:val="en-US" w:eastAsia="zh-CN"/>
        </w:rPr>
        <w:t>成交供应商</w:t>
      </w:r>
      <w:r>
        <w:rPr>
          <w:rFonts w:hint="default" w:ascii="宋体" w:hAnsi="宋体" w:eastAsia="宋体" w:cs="宋体"/>
          <w:b w:val="0"/>
          <w:bCs w:val="0"/>
          <w:sz w:val="24"/>
          <w:szCs w:val="24"/>
          <w:highlight w:val="none"/>
          <w:vertAlign w:val="baseline"/>
          <w:lang w:val="en-US" w:eastAsia="zh-CN"/>
        </w:rPr>
        <w:t>按扫码寄存柜营业额的百分比对</w:t>
      </w:r>
      <w:r>
        <w:rPr>
          <w:rFonts w:hint="eastAsia" w:ascii="宋体" w:hAnsi="宋体" w:cs="宋体"/>
          <w:b w:val="0"/>
          <w:bCs w:val="0"/>
          <w:sz w:val="24"/>
          <w:szCs w:val="24"/>
          <w:highlight w:val="none"/>
          <w:vertAlign w:val="baseline"/>
          <w:lang w:val="en-US" w:eastAsia="zh-CN"/>
        </w:rPr>
        <w:t>比选人</w:t>
      </w:r>
      <w:r>
        <w:rPr>
          <w:rFonts w:hint="default" w:ascii="宋体" w:hAnsi="宋体" w:eastAsia="宋体" w:cs="宋体"/>
          <w:b w:val="0"/>
          <w:bCs w:val="0"/>
          <w:sz w:val="24"/>
          <w:szCs w:val="24"/>
          <w:highlight w:val="none"/>
          <w:vertAlign w:val="baseline"/>
          <w:lang w:val="en-US" w:eastAsia="zh-CN"/>
        </w:rPr>
        <w:t>进行分成。</w:t>
      </w:r>
    </w:p>
    <w:p>
      <w:pPr>
        <w:shd w:val="clear"/>
        <w:snapToGrid w:val="0"/>
        <w:spacing w:line="360" w:lineRule="auto"/>
        <w:ind w:firstLine="480" w:firstLineChars="200"/>
        <w:rPr>
          <w:rFonts w:hint="eastAsia" w:ascii="宋体" w:hAnsi="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四）采用分成合作模式，比选人分成比例最低限价为30%/年，比选报价低于最低限价的按无效响应处理。成交供应商每个月月初支付上个月的分成费用，按上个月的总营业额×成交比选人分成比例支付至比选人账户。</w:t>
      </w:r>
    </w:p>
    <w:p>
      <w:pPr>
        <w:pStyle w:val="5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kern w:val="2"/>
          <w:sz w:val="24"/>
          <w:szCs w:val="24"/>
          <w:highlight w:val="none"/>
          <w:vertAlign w:val="baseline"/>
          <w:lang w:val="en-US" w:eastAsia="zh-CN" w:bidi="ar-SA"/>
        </w:rPr>
        <w:t>（五）供应商必须购买财产损失保险和公众责任险，承担在经营场地内或在经营过程中发生的或引</w:t>
      </w:r>
      <w:r>
        <w:rPr>
          <w:rFonts w:hint="eastAsia" w:ascii="宋体" w:hAnsi="宋体" w:eastAsia="宋体" w:cs="宋体"/>
          <w:color w:val="auto"/>
          <w:sz w:val="24"/>
          <w:szCs w:val="24"/>
          <w:highlight w:val="none"/>
          <w:vertAlign w:val="baseline"/>
          <w:lang w:val="en-US" w:eastAsia="zh-CN"/>
        </w:rPr>
        <w:t>起的一切损失、损害责任，承保范围包括但不限于人身伤害、死亡或财产损</w:t>
      </w:r>
      <w:r>
        <w:rPr>
          <w:rFonts w:hint="eastAsia" w:ascii="宋体" w:hAnsi="宋体" w:eastAsia="宋体" w:cs="宋体"/>
          <w:b w:val="0"/>
          <w:bCs w:val="0"/>
          <w:color w:val="auto"/>
          <w:sz w:val="24"/>
          <w:szCs w:val="24"/>
          <w:highlight w:val="none"/>
          <w:vertAlign w:val="baseline"/>
          <w:lang w:val="en-US" w:eastAsia="zh-CN"/>
        </w:rPr>
        <w:t>坏。</w:t>
      </w:r>
    </w:p>
    <w:p>
      <w:pPr>
        <w:pStyle w:val="5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cs="宋体"/>
          <w:b w:val="0"/>
          <w:bCs w:val="0"/>
          <w:color w:val="auto"/>
          <w:sz w:val="24"/>
          <w:szCs w:val="24"/>
          <w:highlight w:val="none"/>
          <w:vertAlign w:val="baseline"/>
          <w:lang w:val="en-US" w:eastAsia="zh-CN"/>
        </w:rPr>
        <w:t>（六）成交供应商寄存柜小、中、大号的价格须报比选人备案，价格不得明显高于市场价，做到明码实价。</w:t>
      </w:r>
    </w:p>
    <w:p>
      <w:pPr>
        <w:pStyle w:val="5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6"/>
        <w:jc w:val="both"/>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四、安全文明作业</w:t>
      </w:r>
    </w:p>
    <w:p>
      <w:pPr>
        <w:pStyle w:val="5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（一）</w:t>
      </w:r>
      <w:r>
        <w:rPr>
          <w:rFonts w:hint="eastAsia" w:ascii="宋体" w:hAnsi="宋体" w:eastAsia="宋体" w:cs="宋体"/>
          <w:color w:val="auto"/>
          <w:sz w:val="24"/>
          <w:szCs w:val="24"/>
          <w:highlight w:val="none"/>
          <w:vertAlign w:val="baseline"/>
          <w:lang w:val="en-US" w:eastAsia="zh-CN"/>
        </w:rPr>
        <w:t>现场应干净整洁，各类警示标识设置明显；各种设施、材料、设备器材等物料应定点存放，布置垃圾及废料随产随清。</w:t>
      </w:r>
    </w:p>
    <w:p>
      <w:pPr>
        <w:pStyle w:val="5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（二）</w:t>
      </w:r>
      <w:r>
        <w:rPr>
          <w:rFonts w:hint="eastAsia" w:ascii="宋体" w:hAnsi="宋体" w:eastAsia="宋体" w:cs="宋体"/>
          <w:color w:val="auto"/>
          <w:sz w:val="24"/>
          <w:szCs w:val="24"/>
          <w:highlight w:val="none"/>
          <w:vertAlign w:val="baseline"/>
          <w:lang w:val="en-US" w:eastAsia="zh-CN"/>
        </w:rPr>
        <w:t>不得露天用液化石油气、煤炭、木炭等燃料烧饭、烧水，不得对环境造成污染和火灾隐患等。</w:t>
      </w:r>
    </w:p>
    <w:p>
      <w:pPr>
        <w:pStyle w:val="5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（三）</w:t>
      </w:r>
      <w:r>
        <w:rPr>
          <w:rFonts w:hint="eastAsia" w:ascii="宋体" w:hAnsi="宋体" w:eastAsia="宋体" w:cs="宋体"/>
          <w:color w:val="auto"/>
          <w:sz w:val="24"/>
          <w:szCs w:val="24"/>
          <w:highlight w:val="none"/>
          <w:vertAlign w:val="baseline"/>
          <w:lang w:val="en-US" w:eastAsia="zh-CN"/>
        </w:rPr>
        <w:t>成交供应商必须落实安全生产措施，且应按</w:t>
      </w:r>
      <w:r>
        <w:rPr>
          <w:rFonts w:hint="eastAsia"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的要求，为上岗工人配置统一的工作服，自行解决安全作业问题。如发生任何意外，成交供应商负责事故处理及一切费用，均与</w:t>
      </w:r>
      <w:r>
        <w:rPr>
          <w:rFonts w:hint="eastAsia" w:cs="宋体"/>
          <w:color w:val="auto"/>
          <w:sz w:val="24"/>
          <w:szCs w:val="24"/>
          <w:highlight w:val="none"/>
          <w:vertAlign w:val="baseline"/>
          <w:lang w:val="en-US" w:eastAsia="zh-CN"/>
        </w:rPr>
        <w:t>比选人</w:t>
      </w:r>
      <w:r>
        <w:rPr>
          <w:rFonts w:hint="eastAsia" w:ascii="宋体" w:hAnsi="宋体" w:eastAsia="宋体" w:cs="宋体"/>
          <w:color w:val="auto"/>
          <w:sz w:val="24"/>
          <w:szCs w:val="24"/>
          <w:highlight w:val="none"/>
          <w:vertAlign w:val="baseline"/>
          <w:lang w:val="en-US" w:eastAsia="zh-CN"/>
        </w:rPr>
        <w:t>无关。</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宋体"/>
          <w:b w:val="0"/>
          <w:bCs w:val="0"/>
          <w:color w:val="auto"/>
          <w:sz w:val="24"/>
          <w:szCs w:val="24"/>
          <w:highlight w:val="none"/>
          <w:vertAlign w:val="baseline"/>
          <w:lang w:val="en-US" w:eastAsia="zh-CN"/>
        </w:rPr>
      </w:pPr>
      <w:r>
        <w:rPr>
          <w:rFonts w:hint="eastAsia" w:cs="宋体"/>
          <w:b w:val="0"/>
          <w:bCs w:val="0"/>
          <w:color w:val="auto"/>
          <w:sz w:val="24"/>
          <w:szCs w:val="24"/>
          <w:highlight w:val="none"/>
          <w:vertAlign w:val="baseline"/>
          <w:lang w:val="en-US" w:eastAsia="zh-CN"/>
        </w:rPr>
        <w:t>（四）</w:t>
      </w:r>
      <w:r>
        <w:rPr>
          <w:rFonts w:hint="eastAsia" w:ascii="宋体" w:hAnsi="宋体" w:eastAsia="宋体" w:cs="宋体"/>
          <w:b w:val="0"/>
          <w:bCs w:val="0"/>
          <w:color w:val="auto"/>
          <w:sz w:val="24"/>
          <w:szCs w:val="24"/>
          <w:highlight w:val="none"/>
          <w:vertAlign w:val="baseline"/>
          <w:lang w:val="en-US" w:eastAsia="zh-CN"/>
        </w:rPr>
        <w:t>成交供应商须服从重庆园博园安全管理服务要求。</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2" w:firstLineChars="200"/>
        <w:jc w:val="both"/>
        <w:textAlignment w:val="baseline"/>
        <w:rPr>
          <w:rFonts w:hint="default" w:cs="宋体"/>
          <w:b/>
          <w:bCs/>
          <w:color w:val="auto"/>
          <w:sz w:val="24"/>
          <w:szCs w:val="24"/>
          <w:highlight w:val="none"/>
          <w:vertAlign w:val="baseline"/>
          <w:lang w:val="en-US" w:eastAsia="zh-CN"/>
        </w:rPr>
      </w:pPr>
      <w:r>
        <w:rPr>
          <w:rFonts w:hint="eastAsia" w:cs="宋体"/>
          <w:b/>
          <w:bCs/>
          <w:color w:val="auto"/>
          <w:sz w:val="24"/>
          <w:szCs w:val="24"/>
          <w:highlight w:val="none"/>
          <w:vertAlign w:val="baseline"/>
          <w:lang w:val="en-US" w:eastAsia="zh-CN"/>
        </w:rPr>
        <w:t>五、服务方案</w:t>
      </w:r>
    </w:p>
    <w:p>
      <w:pPr>
        <w:shd w:val="clear"/>
        <w:snapToGrid w:val="0"/>
        <w:spacing w:line="360" w:lineRule="auto"/>
        <w:ind w:firstLine="480" w:firstLineChars="20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供应商需提供建设及运维方案。</w:t>
      </w:r>
    </w:p>
    <w:p>
      <w:pPr>
        <w:shd w:val="clear"/>
        <w:snapToGrid w:val="0"/>
        <w:spacing w:line="360" w:lineRule="auto"/>
        <w:ind w:firstLine="482" w:firstLineChars="200"/>
        <w:rPr>
          <w:rFonts w:hint="eastAsia" w:ascii="宋体" w:hAnsi="宋体" w:eastAsia="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六</w:t>
      </w:r>
      <w:r>
        <w:rPr>
          <w:rFonts w:hint="eastAsia" w:ascii="宋体" w:hAnsi="宋体" w:eastAsia="宋体" w:cs="宋体"/>
          <w:b/>
          <w:bCs/>
          <w:sz w:val="24"/>
          <w:szCs w:val="24"/>
          <w:highlight w:val="none"/>
          <w:vertAlign w:val="baseline"/>
          <w:lang w:val="en-US" w:eastAsia="zh-CN"/>
        </w:rPr>
        <w:t>、现场踏勘</w:t>
      </w:r>
    </w:p>
    <w:p>
      <w:pPr>
        <w:shd w:val="clear"/>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36"/>
          <w:szCs w:val="30"/>
          <w:highlight w:val="none"/>
        </w:rPr>
      </w:pPr>
      <w:r>
        <w:rPr>
          <w:rFonts w:hint="eastAsia" w:ascii="宋体" w:hAnsi="宋体" w:eastAsia="宋体" w:cs="宋体"/>
          <w:b w:val="0"/>
          <w:sz w:val="24"/>
          <w:szCs w:val="24"/>
          <w:highlight w:val="none"/>
          <w:vertAlign w:val="baseline"/>
          <w:lang w:val="en-US" w:eastAsia="zh-CN"/>
        </w:rPr>
        <w:t>本项目比选人不组织现场踏勘，由供应商自行踏勘项目现场，供应商踏勘现场发生的所有费用自理，自行负责在踏勘现场中所发生的人员伤亡和财产损失。因供应商未踏勘现场而出现的报价成本估算错误，比选人不承担一切责任，由供应商自行承担。</w:t>
      </w:r>
      <w:bookmarkEnd w:id="87"/>
      <w:bookmarkEnd w:id="88"/>
      <w:bookmarkEnd w:id="89"/>
      <w:bookmarkEnd w:id="90"/>
      <w:bookmarkStart w:id="91" w:name="_Toc32034"/>
      <w:bookmarkStart w:id="92" w:name="_Toc22755"/>
      <w:r>
        <w:rPr>
          <w:rFonts w:hint="eastAsia" w:asciiTheme="minorEastAsia" w:hAnsiTheme="minorEastAsia" w:eastAsiaTheme="minorEastAsia" w:cstheme="minorEastAsia"/>
          <w:bCs/>
          <w:color w:val="auto"/>
          <w:sz w:val="36"/>
          <w:szCs w:val="30"/>
          <w:highlight w:val="none"/>
        </w:rPr>
        <w:br w:type="page"/>
      </w:r>
    </w:p>
    <w:p>
      <w:pPr>
        <w:pStyle w:val="4"/>
        <w:shd w:val="clear"/>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93" w:name="_Toc9443"/>
      <w:r>
        <w:rPr>
          <w:rFonts w:hint="eastAsia" w:asciiTheme="minorEastAsia" w:hAnsiTheme="minorEastAsia" w:eastAsiaTheme="minorEastAsia" w:cstheme="minorEastAsia"/>
          <w:bCs/>
          <w:color w:val="auto"/>
          <w:sz w:val="36"/>
          <w:szCs w:val="30"/>
          <w:highlight w:val="none"/>
        </w:rPr>
        <w:t>第三篇  项目商务需求</w:t>
      </w:r>
      <w:bookmarkEnd w:id="91"/>
      <w:bookmarkEnd w:id="92"/>
      <w:bookmarkEnd w:id="93"/>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94" w:name="_Toc106030887"/>
      <w:bookmarkEnd w:id="94"/>
      <w:bookmarkStart w:id="95" w:name="_Toc106030883"/>
      <w:bookmarkEnd w:id="95"/>
      <w:bookmarkStart w:id="96" w:name="_Toc76462328"/>
      <w:bookmarkEnd w:id="96"/>
      <w:bookmarkStart w:id="97" w:name="_Toc76462332"/>
      <w:bookmarkEnd w:id="97"/>
      <w:bookmarkStart w:id="98" w:name="_Toc9477"/>
      <w:bookmarkEnd w:id="98"/>
      <w:bookmarkStart w:id="99" w:name="_Toc344475120"/>
      <w:bookmarkEnd w:id="99"/>
      <w:bookmarkStart w:id="100" w:name="_Toc28019"/>
      <w:bookmarkEnd w:id="100"/>
      <w:bookmarkStart w:id="101" w:name="_Toc3517"/>
      <w:bookmarkStart w:id="102" w:name="_Toc21310"/>
      <w:bookmarkStart w:id="103" w:name="_Toc20332"/>
      <w:bookmarkStart w:id="104" w:name="_Toc11660"/>
      <w:bookmarkStart w:id="105" w:name="_Toc12819"/>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服务</w:t>
      </w:r>
      <w:r>
        <w:rPr>
          <w:rFonts w:hint="eastAsia" w:asciiTheme="minorEastAsia" w:hAnsiTheme="minorEastAsia" w:eastAsiaTheme="minorEastAsia" w:cstheme="minorEastAsia"/>
          <w:color w:val="auto"/>
          <w:sz w:val="24"/>
          <w:highlight w:val="none"/>
        </w:rPr>
        <w:t>期、地点及验收方式</w:t>
      </w:r>
      <w:bookmarkEnd w:id="101"/>
      <w:bookmarkEnd w:id="102"/>
      <w:bookmarkEnd w:id="103"/>
    </w:p>
    <w:p>
      <w:pPr>
        <w:shd w:val="clear"/>
        <w:snapToGrid w:val="0"/>
        <w:spacing w:line="400" w:lineRule="exact"/>
        <w:ind w:firstLine="5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vertAlign w:val="baseline"/>
          <w:lang w:val="en-US" w:eastAsia="zh-CN"/>
        </w:rPr>
        <w:t>5年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建设期</w:t>
      </w:r>
      <w:r>
        <w:rPr>
          <w:rFonts w:hint="eastAsia" w:ascii="宋体" w:hAnsi="宋体" w:eastAsia="宋体" w:cs="宋体"/>
          <w:color w:val="auto"/>
          <w:sz w:val="24"/>
          <w:szCs w:val="24"/>
          <w:highlight w:val="none"/>
          <w:vertAlign w:val="baseline"/>
          <w:lang w:val="en-US" w:eastAsia="zh-CN"/>
        </w:rPr>
        <w:t>不计入合同经营周期，</w:t>
      </w:r>
      <w:r>
        <w:rPr>
          <w:rFonts w:hint="eastAsia" w:ascii="宋体" w:hAnsi="宋体" w:cs="宋体"/>
          <w:color w:val="auto"/>
          <w:sz w:val="24"/>
          <w:szCs w:val="24"/>
          <w:highlight w:val="none"/>
          <w:lang w:val="en-US" w:eastAsia="zh-CN"/>
        </w:rPr>
        <w:t>建设期原则上不超过1个月</w:t>
      </w:r>
      <w:r>
        <w:rPr>
          <w:rFonts w:hint="eastAsia" w:ascii="宋体" w:hAnsi="宋体" w:cs="宋体"/>
          <w:color w:val="auto"/>
          <w:sz w:val="24"/>
          <w:szCs w:val="24"/>
          <w:highlight w:val="none"/>
        </w:rPr>
        <w:t>。</w:t>
      </w:r>
    </w:p>
    <w:p>
      <w:pPr>
        <w:shd w:val="clea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cs="宋体"/>
          <w:b w:val="0"/>
          <w:bCs w:val="0"/>
          <w:color w:val="auto"/>
          <w:sz w:val="24"/>
          <w:szCs w:val="24"/>
          <w:highlight w:val="none"/>
          <w:vertAlign w:val="baseline"/>
          <w:lang w:val="en-US" w:eastAsia="zh-CN"/>
        </w:rPr>
        <w:t>重庆园博园主入口和东入口处</w:t>
      </w:r>
      <w:r>
        <w:rPr>
          <w:rFonts w:hint="eastAsia" w:ascii="宋体" w:hAnsi="宋体" w:eastAsia="宋体" w:cs="宋体"/>
          <w:color w:val="auto"/>
          <w:sz w:val="24"/>
          <w:szCs w:val="24"/>
          <w:highlight w:val="none"/>
        </w:rPr>
        <w:t>。</w:t>
      </w:r>
    </w:p>
    <w:p>
      <w:pPr>
        <w:shd w:val="clea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pPr>
        <w:shd w:val="clea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1.比选人根据比选文件</w:t>
      </w:r>
      <w:r>
        <w:rPr>
          <w:rFonts w:hint="eastAsia" w:ascii="宋体" w:hAnsi="宋体" w:eastAsia="宋体" w:cs="宋体"/>
          <w:color w:val="auto"/>
          <w:sz w:val="24"/>
          <w:szCs w:val="24"/>
          <w:highlight w:val="none"/>
          <w:lang w:val="en-US" w:eastAsia="zh-CN"/>
        </w:rPr>
        <w:t>和国家、地方相关标准、规范</w:t>
      </w:r>
      <w:r>
        <w:rPr>
          <w:rFonts w:hint="eastAsia" w:ascii="宋体" w:hAnsi="宋体" w:eastAsia="宋体" w:cs="宋体"/>
          <w:color w:val="auto"/>
          <w:sz w:val="24"/>
          <w:szCs w:val="24"/>
          <w:highlight w:val="none"/>
        </w:rPr>
        <w:t>要求进行验收</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验收不合格的，必须按标准整改，所需费用由成交供应商自行承担</w:t>
      </w:r>
      <w:r>
        <w:rPr>
          <w:rFonts w:hint="eastAsia" w:ascii="宋体" w:hAnsi="宋体" w:eastAsia="宋体" w:cs="宋体"/>
          <w:color w:val="auto"/>
          <w:sz w:val="24"/>
          <w:szCs w:val="24"/>
          <w:highlight w:val="none"/>
          <w:lang w:eastAsia="zh-CN"/>
        </w:rPr>
        <w:t>。</w:t>
      </w:r>
    </w:p>
    <w:p>
      <w:pPr>
        <w:shd w:val="clear"/>
        <w:snapToGrid w:val="0"/>
        <w:spacing w:line="400" w:lineRule="exact"/>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w:t>
      </w:r>
      <w:r>
        <w:rPr>
          <w:rFonts w:hint="eastAsia" w:ascii="宋体" w:hAnsi="宋体" w:eastAsia="宋体" w:cs="宋体"/>
          <w:b w:val="0"/>
          <w:bCs w:val="0"/>
          <w:color w:val="auto"/>
          <w:sz w:val="24"/>
          <w:szCs w:val="24"/>
          <w:highlight w:val="none"/>
          <w:vertAlign w:val="baseline"/>
          <w:lang w:val="en-US" w:eastAsia="zh-CN"/>
        </w:rPr>
        <w:t>自助行李寄存柜</w:t>
      </w:r>
      <w:r>
        <w:rPr>
          <w:rFonts w:hint="eastAsia" w:ascii="宋体" w:hAnsi="宋体" w:eastAsia="宋体" w:cs="宋体"/>
          <w:color w:val="auto"/>
          <w:sz w:val="24"/>
          <w:szCs w:val="24"/>
          <w:highlight w:val="none"/>
        </w:rPr>
        <w:t>质量不合格</w:t>
      </w:r>
      <w:r>
        <w:rPr>
          <w:rFonts w:hint="eastAsia" w:ascii="宋体" w:hAnsi="宋体" w:cs="宋体"/>
          <w:color w:val="auto"/>
          <w:sz w:val="24"/>
          <w:szCs w:val="24"/>
          <w:highlight w:val="none"/>
          <w:lang w:val="en-US" w:eastAsia="zh-CN"/>
        </w:rPr>
        <w:t>或寄存柜格数数量不满足要求</w:t>
      </w:r>
      <w:r>
        <w:rPr>
          <w:rFonts w:hint="eastAsia" w:ascii="宋体" w:hAnsi="宋体" w:eastAsia="宋体" w:cs="宋体"/>
          <w:color w:val="auto"/>
          <w:sz w:val="24"/>
          <w:szCs w:val="24"/>
          <w:highlight w:val="none"/>
        </w:rPr>
        <w:t>或延误</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造成的一切损失由成交供应商自行承担。</w:t>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106" w:name="_Toc344475121"/>
      <w:bookmarkStart w:id="107" w:name="_Toc22939"/>
      <w:bookmarkStart w:id="108" w:name="_Toc24094"/>
      <w:bookmarkStart w:id="109" w:name="_Toc971"/>
      <w:bookmarkStart w:id="110" w:name="_Toc32341"/>
      <w:r>
        <w:rPr>
          <w:rFonts w:hint="eastAsia" w:asciiTheme="minorEastAsia" w:hAnsiTheme="minorEastAsia" w:eastAsiaTheme="minorEastAsia" w:cstheme="minorEastAsia"/>
          <w:color w:val="auto"/>
          <w:sz w:val="24"/>
          <w:highlight w:val="none"/>
          <w:lang w:val="en-US" w:eastAsia="zh-CN"/>
        </w:rPr>
        <w:t>二、</w:t>
      </w:r>
      <w:bookmarkEnd w:id="106"/>
      <w:r>
        <w:rPr>
          <w:rFonts w:hint="eastAsia" w:asciiTheme="minorEastAsia" w:hAnsiTheme="minorEastAsia" w:eastAsiaTheme="minorEastAsia" w:cstheme="minorEastAsia"/>
          <w:color w:val="auto"/>
          <w:sz w:val="24"/>
          <w:highlight w:val="none"/>
          <w:lang w:val="en-US" w:eastAsia="zh-CN"/>
        </w:rPr>
        <w:t>报价要求</w:t>
      </w:r>
      <w:bookmarkEnd w:id="107"/>
      <w:bookmarkEnd w:id="108"/>
      <w:bookmarkEnd w:id="109"/>
      <w:bookmarkEnd w:id="110"/>
    </w:p>
    <w:p>
      <w:pPr>
        <w:shd w:val="clea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报价</w:t>
      </w:r>
      <w:r>
        <w:rPr>
          <w:rFonts w:hint="eastAsia" w:ascii="宋体" w:hAnsi="宋体" w:eastAsia="宋体" w:cs="宋体"/>
          <w:kern w:val="0"/>
          <w:sz w:val="24"/>
          <w:szCs w:val="24"/>
          <w:highlight w:val="none"/>
        </w:rPr>
        <w:t>须为人民币报价</w:t>
      </w:r>
      <w:r>
        <w:rPr>
          <w:rFonts w:hint="eastAsia" w:ascii="宋体" w:hAnsi="宋体" w:eastAsia="宋体" w:cs="宋体"/>
          <w:sz w:val="24"/>
          <w:szCs w:val="24"/>
          <w:highlight w:val="none"/>
        </w:rPr>
        <w:t>，</w:t>
      </w:r>
      <w:r>
        <w:rPr>
          <w:rFonts w:hint="eastAsia" w:ascii="宋体" w:hAnsi="宋体" w:cs="宋体"/>
          <w:color w:val="auto"/>
          <w:sz w:val="24"/>
          <w:szCs w:val="24"/>
          <w:highlight w:val="none"/>
        </w:rPr>
        <w:t>供应商报价包括但不限于：完成本项目</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费、人工费、</w:t>
      </w:r>
      <w:r>
        <w:rPr>
          <w:rFonts w:hint="eastAsia" w:ascii="宋体" w:hAnsi="宋体" w:cs="宋体"/>
          <w:color w:val="auto"/>
          <w:sz w:val="24"/>
          <w:szCs w:val="24"/>
          <w:highlight w:val="none"/>
          <w:lang w:val="en-US" w:eastAsia="zh-CN"/>
        </w:rPr>
        <w:t>设施设备费、运营维护</w:t>
      </w:r>
      <w:r>
        <w:rPr>
          <w:rFonts w:hint="eastAsia" w:ascii="宋体" w:hAnsi="宋体" w:cs="宋体"/>
          <w:color w:val="auto"/>
          <w:sz w:val="24"/>
          <w:szCs w:val="24"/>
          <w:highlight w:val="none"/>
        </w:rPr>
        <w:t>以及税费等服务期间的所有费用。因成交供应商自身原因造成漏报、少报皆由其自行承担责任，</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不再补偿。</w:t>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11" w:name="_Toc9058"/>
      <w:bookmarkStart w:id="112" w:name="_Toc30022"/>
      <w:bookmarkStart w:id="113" w:name="_Toc17234"/>
      <w:bookmarkStart w:id="114" w:name="_Toc344475122"/>
      <w:bookmarkStart w:id="115" w:name="_Toc26864"/>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w:t>
      </w:r>
      <w:bookmarkEnd w:id="111"/>
      <w:bookmarkEnd w:id="112"/>
      <w:bookmarkEnd w:id="113"/>
      <w:bookmarkEnd w:id="114"/>
      <w:bookmarkEnd w:id="115"/>
      <w:r>
        <w:rPr>
          <w:rFonts w:hint="eastAsia" w:ascii="宋体" w:hAnsi="宋体" w:eastAsia="宋体" w:cs="宋体"/>
          <w:b/>
          <w:bCs/>
          <w:color w:val="auto"/>
          <w:sz w:val="24"/>
          <w:szCs w:val="24"/>
          <w:highlight w:val="none"/>
          <w:lang w:val="en-US" w:eastAsia="zh-CN"/>
        </w:rPr>
        <w:t>履约保证金和</w:t>
      </w:r>
      <w:r>
        <w:rPr>
          <w:rFonts w:hint="eastAsia" w:ascii="宋体" w:hAnsi="宋体" w:eastAsia="宋体" w:cs="宋体"/>
          <w:b/>
          <w:bCs/>
          <w:color w:val="auto"/>
          <w:sz w:val="24"/>
          <w:szCs w:val="24"/>
          <w:highlight w:val="none"/>
        </w:rPr>
        <w:t>付款方式</w:t>
      </w:r>
    </w:p>
    <w:p>
      <w:pPr>
        <w:shd w:val="clear"/>
        <w:snapToGrid w:val="0"/>
        <w:spacing w:line="400" w:lineRule="exact"/>
        <w:ind w:firstLine="480" w:firstLineChars="200"/>
        <w:rPr>
          <w:rFonts w:hint="eastAsia" w:ascii="宋体" w:hAnsi="宋体" w:eastAsia="宋体" w:cs="宋体"/>
          <w:kern w:val="0"/>
          <w:sz w:val="24"/>
          <w:szCs w:val="24"/>
          <w:highlight w:val="none"/>
        </w:rPr>
      </w:pPr>
      <w:bookmarkStart w:id="116" w:name="_Toc89351104"/>
      <w:bookmarkStart w:id="117" w:name="_Toc69312327"/>
      <w:bookmarkStart w:id="118" w:name="_Toc525316574"/>
      <w:bookmarkStart w:id="119" w:name="_Toc71903469"/>
      <w:bookmarkStart w:id="120" w:name="_Toc13073"/>
      <w:bookmarkStart w:id="121" w:name="_Toc20486"/>
      <w:bookmarkStart w:id="122" w:name="_Toc27478"/>
      <w:bookmarkStart w:id="123" w:name="_Toc344475123"/>
      <w:r>
        <w:rPr>
          <w:rFonts w:hint="eastAsia" w:ascii="宋体" w:hAnsi="宋体" w:eastAsia="宋体" w:cs="宋体"/>
          <w:kern w:val="0"/>
          <w:sz w:val="24"/>
          <w:szCs w:val="24"/>
          <w:highlight w:val="none"/>
        </w:rPr>
        <w:t>（一）合同签订前，</w:t>
      </w:r>
      <w:r>
        <w:rPr>
          <w:rFonts w:hint="eastAsia" w:ascii="宋体" w:hAnsi="宋体" w:eastAsia="宋体" w:cs="宋体"/>
          <w:kern w:val="0"/>
          <w:sz w:val="24"/>
          <w:szCs w:val="24"/>
          <w:highlight w:val="none"/>
          <w:lang w:val="en-US" w:eastAsia="zh-CN"/>
        </w:rPr>
        <w:t>成交供应商</w:t>
      </w:r>
      <w:r>
        <w:rPr>
          <w:rFonts w:hint="eastAsia" w:ascii="宋体" w:hAnsi="宋体" w:eastAsia="宋体" w:cs="宋体"/>
          <w:kern w:val="0"/>
          <w:sz w:val="24"/>
          <w:szCs w:val="24"/>
          <w:highlight w:val="none"/>
        </w:rPr>
        <w:t>向</w:t>
      </w:r>
      <w:r>
        <w:rPr>
          <w:rFonts w:hint="eastAsia" w:ascii="宋体" w:hAnsi="宋体" w:eastAsia="宋体" w:cs="宋体"/>
          <w:kern w:val="0"/>
          <w:sz w:val="24"/>
          <w:szCs w:val="24"/>
          <w:highlight w:val="none"/>
          <w:lang w:eastAsia="zh-CN"/>
        </w:rPr>
        <w:t>比选人</w:t>
      </w:r>
      <w:r>
        <w:rPr>
          <w:rFonts w:hint="eastAsia" w:ascii="宋体" w:hAnsi="宋体" w:eastAsia="宋体" w:cs="宋体"/>
          <w:kern w:val="0"/>
          <w:sz w:val="24"/>
          <w:szCs w:val="24"/>
          <w:highlight w:val="none"/>
        </w:rPr>
        <w:t>缴纳</w:t>
      </w:r>
      <w:r>
        <w:rPr>
          <w:rFonts w:hint="eastAsia" w:ascii="宋体" w:hAnsi="宋体" w:eastAsia="宋体" w:cs="宋体"/>
          <w:kern w:val="0"/>
          <w:sz w:val="24"/>
          <w:szCs w:val="24"/>
          <w:highlight w:val="none"/>
          <w:lang w:val="en-US" w:eastAsia="zh-CN"/>
        </w:rPr>
        <w:t>1万元</w:t>
      </w:r>
      <w:r>
        <w:rPr>
          <w:rFonts w:hint="eastAsia" w:ascii="宋体" w:hAnsi="宋体" w:eastAsia="宋体" w:cs="宋体"/>
          <w:kern w:val="0"/>
          <w:sz w:val="24"/>
          <w:szCs w:val="24"/>
          <w:highlight w:val="none"/>
        </w:rPr>
        <w:t>履约保证金（以支票、汇票、本票或者金融机构、担保机构出具的保函等非现金形式提交。）；</w:t>
      </w:r>
    </w:p>
    <w:p>
      <w:pPr>
        <w:shd w:val="clear"/>
        <w:snapToGrid w:val="0"/>
        <w:spacing w:line="4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w:t>
      </w:r>
      <w:r>
        <w:rPr>
          <w:rFonts w:hint="eastAsia" w:ascii="宋体" w:hAnsi="宋体" w:cs="宋体"/>
          <w:b w:val="0"/>
          <w:bCs w:val="0"/>
          <w:sz w:val="24"/>
          <w:szCs w:val="24"/>
          <w:highlight w:val="none"/>
          <w:vertAlign w:val="baseline"/>
          <w:lang w:val="en-US" w:eastAsia="zh-CN"/>
        </w:rPr>
        <w:t>成交供应商每个月月初支付上个月的分成费，按上个月的总营业额×成交比选人分成比例支付至比选人账户。</w:t>
      </w:r>
    </w:p>
    <w:p>
      <w:pPr>
        <w:pStyle w:val="4"/>
        <w:shd w:val="clear"/>
        <w:adjustRightInd w:val="0"/>
        <w:snapToGrid w:val="0"/>
        <w:spacing w:before="0" w:after="0" w:line="400" w:lineRule="exact"/>
        <w:ind w:left="476" w:leftChars="170" w:firstLine="0" w:firstLineChars="0"/>
        <w:rPr>
          <w:rFonts w:hint="eastAsia" w:asciiTheme="minorEastAsia" w:hAnsiTheme="minorEastAsia" w:eastAsiaTheme="minorEastAsia" w:cstheme="minorEastAsia"/>
          <w:color w:val="auto"/>
          <w:sz w:val="24"/>
          <w:highlight w:val="none"/>
        </w:rPr>
      </w:pP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三</w:t>
      </w:r>
      <w:r>
        <w:rPr>
          <w:rFonts w:hint="eastAsia" w:ascii="宋体" w:hAnsi="宋体" w:eastAsia="宋体" w:cs="宋体"/>
          <w:b w:val="0"/>
          <w:bCs/>
          <w:kern w:val="0"/>
          <w:sz w:val="24"/>
          <w:szCs w:val="24"/>
          <w:highlight w:val="none"/>
        </w:rPr>
        <w:t>）履约保证金无息退还时间：</w:t>
      </w:r>
      <w:r>
        <w:rPr>
          <w:rFonts w:hint="eastAsia" w:ascii="宋体" w:hAnsi="宋体" w:eastAsia="宋体" w:cs="宋体"/>
          <w:b w:val="0"/>
          <w:bCs/>
          <w:kern w:val="0"/>
          <w:sz w:val="24"/>
          <w:szCs w:val="24"/>
          <w:highlight w:val="none"/>
          <w:lang w:val="en-US" w:eastAsia="zh-CN"/>
        </w:rPr>
        <w:t>合同到期后30天内，</w:t>
      </w:r>
      <w:r>
        <w:rPr>
          <w:rFonts w:hint="eastAsia" w:ascii="宋体" w:hAnsi="宋体" w:eastAsia="宋体" w:cs="宋体"/>
          <w:b w:val="0"/>
          <w:bCs/>
          <w:kern w:val="0"/>
          <w:sz w:val="24"/>
          <w:szCs w:val="24"/>
          <w:highlight w:val="none"/>
          <w:lang w:eastAsia="zh-CN"/>
        </w:rPr>
        <w:t>比选人</w:t>
      </w:r>
      <w:r>
        <w:rPr>
          <w:rFonts w:hint="eastAsia" w:ascii="宋体" w:hAnsi="宋体" w:eastAsia="宋体" w:cs="宋体"/>
          <w:b w:val="0"/>
          <w:bCs/>
          <w:kern w:val="0"/>
          <w:sz w:val="24"/>
          <w:szCs w:val="24"/>
          <w:highlight w:val="none"/>
        </w:rPr>
        <w:t>无息退还履约保证金。</w:t>
      </w:r>
      <w:bookmarkEnd w:id="116"/>
      <w:bookmarkEnd w:id="117"/>
      <w:bookmarkEnd w:id="118"/>
      <w:bookmarkEnd w:id="119"/>
      <w:bookmarkEnd w:id="120"/>
      <w:bookmarkStart w:id="124" w:name="_Toc21834"/>
      <w:bookmarkStart w:id="125" w:name="_Toc24945"/>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、知识产权</w:t>
      </w:r>
      <w:bookmarkEnd w:id="121"/>
      <w:bookmarkEnd w:id="122"/>
      <w:bookmarkEnd w:id="123"/>
      <w:bookmarkEnd w:id="124"/>
      <w:bookmarkEnd w:id="125"/>
    </w:p>
    <w:p>
      <w:pPr>
        <w:shd w:val="clear"/>
        <w:snapToGrid w:val="0"/>
        <w:spacing w:line="400" w:lineRule="exact"/>
        <w:ind w:firstLine="5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6" w:name="_Toc344475124"/>
      <w:bookmarkStart w:id="127" w:name="_Toc6820"/>
      <w:bookmarkStart w:id="128" w:name="_Toc12318"/>
      <w:bookmarkStart w:id="129" w:name="_Toc28696"/>
      <w:bookmarkStart w:id="130" w:name="_Toc31870"/>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w:t>
      </w:r>
      <w:bookmarkEnd w:id="126"/>
      <w:bookmarkStart w:id="131" w:name="_Toc344475125"/>
      <w:r>
        <w:rPr>
          <w:rFonts w:hint="eastAsia" w:asciiTheme="minorEastAsia" w:hAnsiTheme="minorEastAsia" w:eastAsiaTheme="minorEastAsia" w:cstheme="minorEastAsia"/>
          <w:color w:val="auto"/>
          <w:sz w:val="24"/>
          <w:highlight w:val="none"/>
        </w:rPr>
        <w:t>其他</w:t>
      </w:r>
      <w:bookmarkEnd w:id="127"/>
      <w:bookmarkEnd w:id="128"/>
      <w:bookmarkEnd w:id="129"/>
      <w:bookmarkEnd w:id="130"/>
    </w:p>
    <w:bookmarkEnd w:id="131"/>
    <w:p>
      <w:pPr>
        <w:shd w:val="clea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）供应商必须在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文件中对以上条款和服务承诺明确列出，承诺内容必须达到本篇及</w:t>
      </w:r>
      <w:r>
        <w:rPr>
          <w:rFonts w:hint="eastAsia" w:ascii="宋体" w:hAnsi="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文件其他条款的要求。</w:t>
      </w:r>
    </w:p>
    <w:p>
      <w:pPr>
        <w:shd w:val="clear"/>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）其他未尽事宜由供需双方在采购合同中详细约定。</w:t>
      </w:r>
    </w:p>
    <w:p>
      <w:pPr>
        <w:pStyle w:val="4"/>
        <w:pageBreakBefore/>
        <w:shd w:val="clear"/>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132" w:name="_Toc20812"/>
      <w:r>
        <w:rPr>
          <w:rFonts w:hint="eastAsia" w:asciiTheme="minorEastAsia" w:hAnsiTheme="minorEastAsia" w:eastAsiaTheme="minorEastAsia" w:cstheme="minorEastAsia"/>
          <w:bCs/>
          <w:color w:val="auto"/>
          <w:sz w:val="36"/>
          <w:szCs w:val="30"/>
          <w:highlight w:val="none"/>
        </w:rPr>
        <w:t>第四篇  比选程序及方法、评审标准、无效响应和</w:t>
      </w:r>
      <w:r>
        <w:rPr>
          <w:rFonts w:hint="eastAsia" w:asciiTheme="minorEastAsia" w:hAnsiTheme="minorEastAsia" w:eastAsiaTheme="minorEastAsia" w:cstheme="minorEastAsia"/>
          <w:bCs/>
          <w:color w:val="auto"/>
          <w:sz w:val="36"/>
          <w:szCs w:val="36"/>
          <w:highlight w:val="none"/>
        </w:rPr>
        <w:t>采购终止</w:t>
      </w:r>
      <w:bookmarkEnd w:id="104"/>
      <w:bookmarkEnd w:id="105"/>
      <w:bookmarkEnd w:id="132"/>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3" w:name="_Toc76462333"/>
      <w:bookmarkEnd w:id="133"/>
      <w:bookmarkStart w:id="134" w:name="_Toc19981"/>
      <w:bookmarkEnd w:id="134"/>
      <w:bookmarkStart w:id="135" w:name="_Toc106030888"/>
      <w:bookmarkEnd w:id="135"/>
      <w:bookmarkStart w:id="136" w:name="_Toc31047"/>
      <w:bookmarkStart w:id="137" w:name="_Toc6512"/>
      <w:bookmarkStart w:id="138" w:name="_Toc28291"/>
      <w:r>
        <w:rPr>
          <w:rFonts w:hint="eastAsia" w:asciiTheme="minorEastAsia" w:hAnsiTheme="minorEastAsia" w:eastAsiaTheme="minorEastAsia" w:cstheme="minorEastAsia"/>
          <w:color w:val="auto"/>
          <w:sz w:val="24"/>
          <w:highlight w:val="none"/>
        </w:rPr>
        <w:t>一、比选程序及方法</w:t>
      </w:r>
      <w:bookmarkEnd w:id="136"/>
      <w:bookmarkEnd w:id="137"/>
      <w:bookmarkEnd w:id="138"/>
    </w:p>
    <w:p>
      <w:pPr>
        <w:shd w:val="clea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（一）比选按竞争性比选文件规定的时间和地点进行，供应商须有法定代表人或其授权代表参加并签到。</w:t>
      </w:r>
    </w:p>
    <w:p>
      <w:pPr>
        <w:shd w:val="clea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（二）评审小组对各供应商的资格条件、响应文件的有效性、完整性和响应程度进行审查。各供应商只有在完全符合要求的前提下，才能进行详细技术（服务）、商务、报价评审。</w:t>
      </w:r>
    </w:p>
    <w:p>
      <w:pPr>
        <w:shd w:val="clea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资格性检查。依据法律法规和竞争性比选文件的规定，对响应文件中的资格证明等进行审查，以确定供应商是否具备比选资格。资格性检查资料表如下：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hd w:val="clea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pPr>
              <w:shd w:val="clea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《中华人民共和国政府采购法》第二十二条规定</w:t>
            </w:r>
          </w:p>
        </w:tc>
        <w:tc>
          <w:tcPr>
            <w:tcW w:w="3118" w:type="dxa"/>
            <w:vAlign w:val="center"/>
          </w:tcPr>
          <w:p>
            <w:pPr>
              <w:shd w:val="clea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pPr>
              <w:shd w:val="clea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1.供应商法人营业执照（副本）或事业单位法人证书（副本）或个体工商户营业执照或有效的自然人身份证明或社会团体法人登记证书（提供复印件）。</w:t>
            </w:r>
          </w:p>
          <w:p>
            <w:pPr>
              <w:shd w:val="clea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hd w:val="clea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shd w:val="clea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shd w:val="clea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pPr>
              <w:shd w:val="clea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w:t>
            </w: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hd w:val="clea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shd w:val="clea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shd w:val="clea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pPr>
              <w:shd w:val="clea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hd w:val="clea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shd w:val="clea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shd w:val="clea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pPr>
              <w:shd w:val="clea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shd w:val="clea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shd w:val="clea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pPr>
              <w:shd w:val="clea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5.参加政府采购活动前三年内，在经营活动中没有重大违法记录</w:t>
            </w:r>
          </w:p>
        </w:tc>
        <w:tc>
          <w:tcPr>
            <w:tcW w:w="4984" w:type="dxa"/>
            <w:vMerge w:val="continue"/>
            <w:vAlign w:val="center"/>
          </w:tcPr>
          <w:p>
            <w:pPr>
              <w:shd w:val="clear"/>
              <w:rPr>
                <w:rFonts w:hint="eastAsia" w:asciiTheme="minorEastAsia" w:hAnsiTheme="minorEastAsia" w:eastAsiaTheme="minorEastAsia" w:cstheme="minorEastAsia"/>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shd w:val="clea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pPr>
              <w:shd w:val="clear"/>
              <w:rPr>
                <w:rFonts w:hint="eastAsia" w:asciiTheme="minorEastAsia" w:hAnsiTheme="minorEastAsia" w:eastAsiaTheme="minorEastAsia" w:cstheme="minorEastAsia"/>
                <w:color w:val="auto"/>
                <w:sz w:val="21"/>
                <w:szCs w:val="21"/>
                <w:highlight w:val="none"/>
              </w:rPr>
            </w:pPr>
          </w:p>
        </w:tc>
        <w:tc>
          <w:tcPr>
            <w:tcW w:w="3118" w:type="dxa"/>
            <w:vAlign w:val="center"/>
          </w:tcPr>
          <w:p>
            <w:pPr>
              <w:shd w:val="clea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pPr>
              <w:shd w:val="clea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pPr>
              <w:shd w:val="clea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vAlign w:val="center"/>
          </w:tcPr>
          <w:p>
            <w:pPr>
              <w:shd w:val="clea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比选</w:t>
            </w:r>
            <w:r>
              <w:rPr>
                <w:rFonts w:hint="eastAsia" w:asciiTheme="minorEastAsia" w:hAnsiTheme="minorEastAsia" w:eastAsiaTheme="minorEastAsia" w:cstheme="minorEastAsia"/>
                <w:color w:val="auto"/>
                <w:sz w:val="21"/>
                <w:szCs w:val="21"/>
                <w:highlight w:val="none"/>
              </w:rPr>
              <w:t>保证金</w:t>
            </w:r>
          </w:p>
        </w:tc>
        <w:tc>
          <w:tcPr>
            <w:tcW w:w="4984" w:type="dxa"/>
            <w:vAlign w:val="center"/>
          </w:tcPr>
          <w:p>
            <w:pPr>
              <w:shd w:val="clea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按照</w:t>
            </w:r>
            <w:r>
              <w:rPr>
                <w:rFonts w:hint="eastAsia" w:ascii="宋体" w:hAnsi="宋体" w:cs="宋体"/>
                <w:sz w:val="21"/>
                <w:szCs w:val="21"/>
                <w:highlight w:val="none"/>
                <w:lang w:val="en-US" w:eastAsia="zh-CN"/>
              </w:rPr>
              <w:t>比选</w:t>
            </w:r>
            <w:r>
              <w:rPr>
                <w:rFonts w:hint="eastAsia" w:ascii="宋体" w:hAnsi="宋体" w:cs="宋体"/>
                <w:sz w:val="21"/>
                <w:szCs w:val="21"/>
                <w:highlight w:val="none"/>
              </w:rPr>
              <w:t>文件要求足额交纳所投</w:t>
            </w:r>
            <w:r>
              <w:rPr>
                <w:rFonts w:hint="eastAsia" w:ascii="宋体" w:hAnsi="宋体" w:cs="宋体"/>
                <w:sz w:val="21"/>
                <w:szCs w:val="21"/>
                <w:highlight w:val="none"/>
                <w:lang w:val="en-US" w:eastAsia="zh-CN"/>
              </w:rPr>
              <w:t>项目</w:t>
            </w:r>
            <w:r>
              <w:rPr>
                <w:rFonts w:hint="eastAsia" w:ascii="宋体" w:hAnsi="宋体" w:cs="宋体"/>
                <w:sz w:val="21"/>
                <w:szCs w:val="21"/>
                <w:highlight w:val="none"/>
              </w:rPr>
              <w:t>的</w:t>
            </w:r>
            <w:r>
              <w:rPr>
                <w:rFonts w:hint="eastAsia" w:ascii="宋体" w:hAnsi="宋体" w:cs="宋体"/>
                <w:sz w:val="21"/>
                <w:szCs w:val="21"/>
                <w:highlight w:val="none"/>
                <w:lang w:val="en-US" w:eastAsia="zh-CN"/>
              </w:rPr>
              <w:t>比选</w:t>
            </w:r>
            <w:r>
              <w:rPr>
                <w:rFonts w:hint="eastAsia" w:ascii="宋体" w:hAnsi="宋体" w:cs="宋体"/>
                <w:sz w:val="21"/>
                <w:szCs w:val="21"/>
                <w:highlight w:val="none"/>
              </w:rPr>
              <w:t>保证金。</w:t>
            </w:r>
          </w:p>
        </w:tc>
      </w:tr>
    </w:tbl>
    <w:p>
      <w:pPr>
        <w:shd w:val="clea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pPr>
        <w:shd w:val="clea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eq \o\ac(○,</w:instrText>
      </w:r>
      <w:r>
        <w:rPr>
          <w:rFonts w:hint="eastAsia" w:asciiTheme="minorEastAsia" w:hAnsiTheme="minorEastAsia" w:eastAsiaTheme="minorEastAsia" w:cstheme="minorEastAsia"/>
          <w:color w:val="auto"/>
          <w:kern w:val="0"/>
          <w:position w:val="3"/>
          <w:sz w:val="16"/>
          <w:szCs w:val="24"/>
          <w:highlight w:val="none"/>
        </w:rPr>
        <w:instrText xml:space="preserve">1</w:instrText>
      </w:r>
      <w:r>
        <w:rPr>
          <w:rFonts w:hint="eastAsia" w:asciiTheme="minorEastAsia" w:hAnsiTheme="minorEastAsia" w:eastAsiaTheme="minorEastAsia" w:cstheme="minorEastAsia"/>
          <w:color w:val="auto"/>
          <w:kern w:val="0"/>
          <w:sz w:val="24"/>
          <w:szCs w:val="24"/>
          <w:highlight w:val="none"/>
        </w:rPr>
        <w:instrText xml:space="preserve">)</w:instrTex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的行政处罚。行政处罚中“较大数额”的认定标准，参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pPr>
        <w:shd w:val="clea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符合性审查。依据竞争性比选文件的规定，从响应文件的有效性、完整性和对竞争性比选文件的响应程度进行审查，以确定是否对竞争性比选文件的实质性要求作出响应。符合性审查资料表如下：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hd w:val="clea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pPr>
              <w:shd w:val="clea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pPr>
              <w:shd w:val="clea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hd w:val="clea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pPr>
              <w:shd w:val="clea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pPr>
              <w:shd w:val="clea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pPr>
              <w:shd w:val="clea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w:t>
            </w:r>
            <w:r>
              <w:rPr>
                <w:rFonts w:hint="eastAsia" w:asciiTheme="minorEastAsia" w:hAnsiTheme="minorEastAsia" w:eastAsiaTheme="minorEastAsia" w:cstheme="minorEastAsia"/>
                <w:color w:val="auto"/>
                <w:sz w:val="21"/>
                <w:szCs w:val="21"/>
                <w:highlight w:val="none"/>
                <w:lang w:eastAsia="zh-CN"/>
              </w:rPr>
              <w:t>第七篇响应文件编制要求</w:t>
            </w:r>
            <w:r>
              <w:rPr>
                <w:rFonts w:hint="eastAsia" w:asciiTheme="minorEastAsia" w:hAnsiTheme="minorEastAsia" w:eastAsiaTheme="minorEastAsia" w:cstheme="minorEastAsia"/>
                <w:color w:val="auto"/>
                <w:sz w:val="21"/>
                <w:szCs w:val="21"/>
                <w:highlight w:val="none"/>
              </w:rPr>
              <w:t>”要求签署或盖章。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hd w:val="clea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shd w:val="clea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shd w:val="clea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pPr>
              <w:shd w:val="clea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hd w:val="clea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shd w:val="clea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shd w:val="clea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pPr>
              <w:shd w:val="clea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hd w:val="clea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shd w:val="clear"/>
              <w:rPr>
                <w:rFonts w:hint="eastAsia" w:asciiTheme="minorEastAsia" w:hAnsiTheme="minorEastAsia" w:eastAsiaTheme="minorEastAsia" w:cstheme="minorEastAsia"/>
                <w:color w:val="auto"/>
                <w:kern w:val="0"/>
                <w:sz w:val="21"/>
                <w:szCs w:val="21"/>
                <w:highlight w:val="none"/>
              </w:rPr>
            </w:pPr>
          </w:p>
        </w:tc>
        <w:tc>
          <w:tcPr>
            <w:tcW w:w="1984" w:type="dxa"/>
            <w:vAlign w:val="center"/>
          </w:tcPr>
          <w:p>
            <w:pPr>
              <w:shd w:val="clea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pPr>
              <w:shd w:val="clea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shd w:val="clea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pPr>
              <w:shd w:val="clea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pPr>
              <w:shd w:val="clea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w:t>
            </w:r>
            <w:r>
              <w:rPr>
                <w:rFonts w:hint="eastAsia" w:asciiTheme="minorEastAsia" w:hAnsiTheme="minorEastAsia" w:eastAsiaTheme="minorEastAsia" w:cstheme="minorEastAsia"/>
                <w:color w:val="auto"/>
                <w:sz w:val="21"/>
                <w:szCs w:val="21"/>
                <w:highlight w:val="none"/>
                <w:lang w:val="zh-CN"/>
              </w:rPr>
              <w:t>份数</w:t>
            </w:r>
          </w:p>
        </w:tc>
        <w:tc>
          <w:tcPr>
            <w:tcW w:w="5409" w:type="dxa"/>
            <w:vAlign w:val="center"/>
          </w:tcPr>
          <w:p>
            <w:pPr>
              <w:shd w:val="clea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w:t>
            </w:r>
            <w:r>
              <w:rPr>
                <w:rFonts w:hint="eastAsia" w:asciiTheme="minorEastAsia" w:hAnsiTheme="minorEastAsia" w:eastAsiaTheme="minorEastAsia" w:cstheme="minorEastAsia"/>
                <w:color w:val="auto"/>
                <w:sz w:val="21"/>
                <w:szCs w:val="21"/>
                <w:highlight w:val="none"/>
                <w:lang w:val="zh-CN"/>
              </w:rPr>
              <w:t>正、副本数量</w:t>
            </w:r>
            <w:r>
              <w:rPr>
                <w:rFonts w:hint="eastAsia" w:ascii="宋体" w:hAnsi="宋体" w:cs="宋体"/>
                <w:color w:val="auto"/>
                <w:sz w:val="21"/>
                <w:szCs w:val="21"/>
                <w:highlight w:val="none"/>
                <w:lang w:val="zh-CN"/>
              </w:rPr>
              <w:t>（含电子文档）</w:t>
            </w:r>
            <w:r>
              <w:rPr>
                <w:rFonts w:hint="eastAsia" w:asciiTheme="minorEastAsia" w:hAnsiTheme="minorEastAsia" w:eastAsiaTheme="minorEastAsia" w:cstheme="minorEastAsia"/>
                <w:color w:val="auto"/>
                <w:sz w:val="21"/>
                <w:szCs w:val="21"/>
                <w:highlight w:val="none"/>
                <w:lang w:val="zh-CN"/>
              </w:rPr>
              <w:t>符合</w:t>
            </w:r>
            <w:r>
              <w:rPr>
                <w:rFonts w:hint="eastAsia" w:asciiTheme="minorEastAsia" w:hAnsiTheme="minorEastAsia" w:eastAsiaTheme="minorEastAsia" w:cstheme="minorEastAsia"/>
                <w:color w:val="auto"/>
                <w:sz w:val="21"/>
                <w:szCs w:val="21"/>
                <w:highlight w:val="none"/>
              </w:rPr>
              <w:t>竞争性比选</w:t>
            </w:r>
            <w:r>
              <w:rPr>
                <w:rFonts w:hint="eastAsia" w:asciiTheme="minorEastAsia" w:hAnsiTheme="minorEastAsia" w:eastAsiaTheme="minorEastAsia" w:cstheme="minorEastAsia"/>
                <w:color w:val="auto"/>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hd w:val="clea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vAlign w:val="center"/>
          </w:tcPr>
          <w:p>
            <w:pPr>
              <w:shd w:val="clea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vAlign w:val="center"/>
          </w:tcPr>
          <w:p>
            <w:pPr>
              <w:shd w:val="clea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vAlign w:val="center"/>
          </w:tcPr>
          <w:p>
            <w:pPr>
              <w:pStyle w:val="32"/>
              <w:shd w:val="clea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对竞争性比选文件第二篇、第三篇的</w:t>
            </w:r>
            <w:r>
              <w:rPr>
                <w:rFonts w:hint="eastAsia" w:ascii="宋体" w:hAnsi="宋体" w:cs="宋体"/>
                <w:color w:val="auto"/>
                <w:sz w:val="21"/>
                <w:szCs w:val="21"/>
                <w:highlight w:val="none"/>
              </w:rPr>
              <w:t>全部内容作出响应</w:t>
            </w:r>
            <w:r>
              <w:rPr>
                <w:rFonts w:hint="eastAsia" w:asciiTheme="minorEastAsia" w:hAnsiTheme="minorEastAsia" w:eastAsiaTheme="minorEastAsia" w:cstheme="minorEastAsia"/>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shd w:val="clea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pPr>
              <w:shd w:val="clear"/>
              <w:rPr>
                <w:rFonts w:hint="eastAsia" w:asciiTheme="minorEastAsia" w:hAnsiTheme="minorEastAsia" w:eastAsiaTheme="minorEastAsia" w:cstheme="minorEastAsia"/>
                <w:color w:val="auto"/>
                <w:sz w:val="21"/>
                <w:szCs w:val="21"/>
                <w:highlight w:val="none"/>
                <w:lang w:val="zh-CN"/>
              </w:rPr>
            </w:pPr>
          </w:p>
        </w:tc>
        <w:tc>
          <w:tcPr>
            <w:tcW w:w="1984" w:type="dxa"/>
            <w:vAlign w:val="center"/>
          </w:tcPr>
          <w:p>
            <w:pPr>
              <w:shd w:val="clea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比选有效期</w:t>
            </w:r>
          </w:p>
        </w:tc>
        <w:tc>
          <w:tcPr>
            <w:tcW w:w="5409" w:type="dxa"/>
            <w:vAlign w:val="center"/>
          </w:tcPr>
          <w:p>
            <w:pPr>
              <w:shd w:val="clea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在采购过程中符合要求的供应商不足3家的，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活动中止并重新开展采购活动。</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（三）澄清有关问题。评审小组在对响应文件的有效性、完整性和响应程度进行审查时，可以要求</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对响应文件中含义不明确、同类问题表述不一致或者有明显文字和计算错误的内容等作出必要的澄清、说明或者更正。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的澄清、说明或者更正不得超出响应文件的范围或者改变响应文件的实质性内容。</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澄清、说明或者更正响应文件应当以书面形式作出。</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的澄清、说明或者更正应当由法定代表人或其授权代表签字或者加盖公章。由授权代表签字的，应当附法定代表人授权书。</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为自然人的，应当由本人签字并附身份证明。</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（五）在比选过程中比选的任何一方不得向他人透露与比选有关的服务资料、价格或其他信息。</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在比选时作出的所有书面承诺须由法定代表人或其授权代表签字。</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（七）评审小组采用综合评分法对合格的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的响应文件和报价（含有效书面承诺）进行综合评分。综合评分法，是指响应文件满足竞争性比选文件全部实质性要求且按照评审因素的量化指标评审得分最高的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为成交候选人的评审方法。</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总得分为价格、服务、商务等评定因素分别按照相应权重值计算分项得分后相加，满分为100分。</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（八）评审小组各成员独立对每个有效响应（通过资格性检查、符合性检查的</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）的响应文件进行评审、打分，然后汇总每个</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每项评分因素的得分，并根据综合评分情况按照评审得分由高到低顺序推荐3名成交候选人，并编写评审报告。若</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的评审得分相同的，按照报价由</w:t>
      </w:r>
      <w:r>
        <w:rPr>
          <w:rFonts w:hint="eastAsia" w:asciiTheme="minorEastAsia" w:hAnsiTheme="minorEastAsia" w:eastAsiaTheme="minorEastAsia" w:cstheme="minorEastAsia"/>
          <w:color w:val="auto"/>
          <w:sz w:val="24"/>
          <w:szCs w:val="24"/>
          <w:highlight w:val="none"/>
          <w:lang w:val="en-US" w:eastAsia="zh-CN"/>
        </w:rPr>
        <w:t>高</w:t>
      </w:r>
      <w:r>
        <w:rPr>
          <w:rFonts w:hint="eastAsia" w:asciiTheme="minorEastAsia" w:hAnsiTheme="minorEastAsia" w:eastAsiaTheme="minorEastAsia" w:cstheme="minorEastAsia"/>
          <w:color w:val="auto"/>
          <w:sz w:val="24"/>
          <w:szCs w:val="24"/>
          <w:highlight w:val="none"/>
        </w:rPr>
        <w:t>到</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rPr>
        <w:t>的顺序排列推荐。评审得分且报价相同的，按照服务部分得分由高到低顺序排列推荐。以上都相同的，按商务部分得分由高到低顺序排列推荐。若</w:t>
      </w: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sz w:val="24"/>
          <w:szCs w:val="24"/>
          <w:highlight w:val="none"/>
        </w:rPr>
        <w:t>的服务部分为0分，将失去成为成交候选人的资格。</w:t>
      </w:r>
    </w:p>
    <w:p>
      <w:pPr>
        <w:shd w:val="clea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highlight w:val="none"/>
        </w:rPr>
        <w:t>二、评审标准</w:t>
      </w:r>
    </w:p>
    <w:tbl>
      <w:tblPr>
        <w:tblStyle w:val="60"/>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48"/>
        <w:gridCol w:w="912"/>
        <w:gridCol w:w="5245"/>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Align w:val="center"/>
          </w:tcPr>
          <w:p>
            <w:pPr>
              <w:shd w:val="clear"/>
              <w:snapToGrid w:val="0"/>
              <w:spacing w:line="360" w:lineRule="auto"/>
              <w:jc w:val="center"/>
              <w:rPr>
                <w:rFonts w:hint="eastAsia" w:ascii="宋体" w:hAnsi="宋体" w:cs="宋体"/>
                <w:b/>
                <w:bCs/>
                <w:color w:val="auto"/>
                <w:sz w:val="21"/>
                <w:szCs w:val="21"/>
                <w:highlight w:val="none"/>
              </w:rPr>
            </w:pPr>
            <w:bookmarkStart w:id="139" w:name="_Toc12733"/>
            <w:bookmarkStart w:id="140" w:name="_Toc27370"/>
            <w:bookmarkStart w:id="141" w:name="_Toc15678"/>
            <w:bookmarkStart w:id="142" w:name="_Toc28217"/>
            <w:r>
              <w:rPr>
                <w:rFonts w:hint="eastAsia" w:ascii="宋体" w:hAnsi="宋体" w:cs="宋体"/>
                <w:b/>
                <w:bCs/>
                <w:color w:val="auto"/>
                <w:sz w:val="21"/>
                <w:szCs w:val="21"/>
                <w:highlight w:val="none"/>
              </w:rPr>
              <w:t>序号</w:t>
            </w:r>
          </w:p>
        </w:tc>
        <w:tc>
          <w:tcPr>
            <w:tcW w:w="1248" w:type="dxa"/>
            <w:vAlign w:val="center"/>
          </w:tcPr>
          <w:p>
            <w:pPr>
              <w:shd w:val="clea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评分因素及权重</w:t>
            </w:r>
          </w:p>
        </w:tc>
        <w:tc>
          <w:tcPr>
            <w:tcW w:w="912" w:type="dxa"/>
            <w:vAlign w:val="center"/>
          </w:tcPr>
          <w:p>
            <w:pPr>
              <w:shd w:val="clea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分值</w:t>
            </w:r>
          </w:p>
        </w:tc>
        <w:tc>
          <w:tcPr>
            <w:tcW w:w="5245" w:type="dxa"/>
            <w:vAlign w:val="center"/>
          </w:tcPr>
          <w:p>
            <w:pPr>
              <w:shd w:val="clea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评分标准</w:t>
            </w:r>
          </w:p>
        </w:tc>
        <w:tc>
          <w:tcPr>
            <w:tcW w:w="1871" w:type="dxa"/>
            <w:vAlign w:val="center"/>
          </w:tcPr>
          <w:p>
            <w:pPr>
              <w:shd w:val="clear"/>
              <w:snapToGrid w:val="0"/>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83" w:type="dxa"/>
            <w:vAlign w:val="center"/>
          </w:tcPr>
          <w:p>
            <w:pPr>
              <w:shd w:val="clear"/>
              <w:spacing w:line="360" w:lineRule="auto"/>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48" w:type="dxa"/>
            <w:vAlign w:val="center"/>
          </w:tcPr>
          <w:p>
            <w:pPr>
              <w:shd w:val="clear"/>
              <w:spacing w:line="240" w:lineRule="atLeas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报价（</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w:t>
            </w:r>
          </w:p>
          <w:p>
            <w:pPr>
              <w:shd w:val="clear"/>
              <w:spacing w:line="240" w:lineRule="atLeast"/>
              <w:rPr>
                <w:rFonts w:hint="eastAsia" w:ascii="宋体" w:hAnsi="宋体" w:eastAsia="宋体" w:cs="宋体"/>
                <w:color w:val="auto"/>
                <w:sz w:val="21"/>
                <w:szCs w:val="21"/>
                <w:highlight w:val="none"/>
              </w:rPr>
            </w:pPr>
          </w:p>
        </w:tc>
        <w:tc>
          <w:tcPr>
            <w:tcW w:w="912" w:type="dxa"/>
            <w:vAlign w:val="center"/>
          </w:tcPr>
          <w:p>
            <w:pPr>
              <w:numPr>
                <w:ilvl w:val="0"/>
                <w:numId w:val="0"/>
              </w:numPr>
              <w:shd w:val="clear"/>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比选人分成比例（50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c>
          <w:tcPr>
            <w:tcW w:w="5245" w:type="dxa"/>
            <w:vAlign w:val="center"/>
          </w:tcPr>
          <w:p>
            <w:pPr>
              <w:numPr>
                <w:ilvl w:val="0"/>
                <w:numId w:val="0"/>
              </w:numPr>
              <w:shd w:val="clear"/>
              <w:rPr>
                <w:rFonts w:hint="eastAsia" w:ascii="宋体"/>
                <w:color w:val="auto"/>
                <w:sz w:val="21"/>
                <w:szCs w:val="21"/>
                <w:highlight w:val="none"/>
              </w:rPr>
            </w:pPr>
            <w:r>
              <w:rPr>
                <w:rFonts w:hint="eastAsia" w:ascii="宋体"/>
                <w:color w:val="auto"/>
                <w:sz w:val="21"/>
                <w:szCs w:val="21"/>
                <w:highlight w:val="none"/>
              </w:rPr>
              <w:t>有效的</w:t>
            </w:r>
            <w:r>
              <w:rPr>
                <w:rFonts w:hint="eastAsia" w:ascii="宋体"/>
                <w:color w:val="auto"/>
                <w:sz w:val="21"/>
                <w:szCs w:val="21"/>
                <w:highlight w:val="none"/>
                <w:lang w:val="en-US" w:eastAsia="zh-CN"/>
              </w:rPr>
              <w:t>比选</w:t>
            </w:r>
            <w:r>
              <w:rPr>
                <w:rFonts w:hint="eastAsia" w:ascii="宋体"/>
                <w:color w:val="auto"/>
                <w:sz w:val="21"/>
                <w:szCs w:val="21"/>
                <w:highlight w:val="none"/>
              </w:rPr>
              <w:t>报价中的最</w:t>
            </w:r>
            <w:r>
              <w:rPr>
                <w:rFonts w:hint="eastAsia" w:ascii="宋体"/>
                <w:color w:val="auto"/>
                <w:sz w:val="21"/>
                <w:szCs w:val="21"/>
                <w:highlight w:val="none"/>
                <w:lang w:val="en-US" w:eastAsia="zh-CN"/>
              </w:rPr>
              <w:t>高</w:t>
            </w:r>
            <w:r>
              <w:rPr>
                <w:rFonts w:hint="eastAsia" w:ascii="宋体"/>
                <w:color w:val="auto"/>
                <w:sz w:val="21"/>
                <w:szCs w:val="21"/>
                <w:highlight w:val="none"/>
              </w:rPr>
              <w:t>价为评标基准价，其价格分为满分。其他</w:t>
            </w:r>
            <w:r>
              <w:rPr>
                <w:rFonts w:hint="eastAsia" w:ascii="宋体"/>
                <w:color w:val="auto"/>
                <w:sz w:val="21"/>
                <w:szCs w:val="21"/>
                <w:highlight w:val="none"/>
                <w:lang w:val="en-US" w:eastAsia="zh-CN"/>
              </w:rPr>
              <w:t>供应商</w:t>
            </w:r>
            <w:r>
              <w:rPr>
                <w:rFonts w:hint="eastAsia" w:ascii="宋体"/>
                <w:color w:val="auto"/>
                <w:sz w:val="21"/>
                <w:szCs w:val="21"/>
                <w:highlight w:val="none"/>
              </w:rPr>
              <w:t>的价格分统一按照下列公式计算：</w:t>
            </w:r>
          </w:p>
          <w:p>
            <w:pPr>
              <w:shd w:val="clear"/>
              <w:spacing w:line="240" w:lineRule="atLeast"/>
              <w:rPr>
                <w:rFonts w:hint="eastAsia" w:ascii="宋体" w:hAnsi="宋体" w:eastAsia="宋体" w:cs="宋体"/>
                <w:color w:val="auto"/>
                <w:sz w:val="21"/>
                <w:szCs w:val="21"/>
                <w:highlight w:val="none"/>
              </w:rPr>
            </w:pPr>
            <w:r>
              <w:rPr>
                <w:rFonts w:hint="eastAsia" w:ascii="宋体"/>
                <w:color w:val="auto"/>
                <w:sz w:val="21"/>
                <w:szCs w:val="21"/>
                <w:highlight w:val="none"/>
                <w:lang w:val="en-US" w:eastAsia="zh-CN"/>
              </w:rPr>
              <w:t>比选</w:t>
            </w:r>
            <w:r>
              <w:rPr>
                <w:rFonts w:hint="eastAsia" w:ascii="宋体"/>
                <w:color w:val="auto"/>
                <w:sz w:val="21"/>
                <w:szCs w:val="21"/>
                <w:highlight w:val="none"/>
              </w:rPr>
              <w:t>报价得分＝（</w:t>
            </w:r>
            <w:r>
              <w:rPr>
                <w:rFonts w:hint="eastAsia" w:ascii="宋体"/>
                <w:color w:val="auto"/>
                <w:sz w:val="21"/>
                <w:szCs w:val="21"/>
                <w:highlight w:val="none"/>
                <w:lang w:val="en-US" w:eastAsia="zh-CN"/>
              </w:rPr>
              <w:t>比选</w:t>
            </w:r>
            <w:r>
              <w:rPr>
                <w:rFonts w:hint="eastAsia" w:ascii="宋体"/>
                <w:color w:val="auto"/>
                <w:sz w:val="21"/>
                <w:szCs w:val="21"/>
                <w:highlight w:val="none"/>
              </w:rPr>
              <w:t>报价/评标基准价）×价格权重×100。</w:t>
            </w:r>
          </w:p>
        </w:tc>
        <w:tc>
          <w:tcPr>
            <w:tcW w:w="1871" w:type="dxa"/>
            <w:vAlign w:val="center"/>
          </w:tcPr>
          <w:p>
            <w:pPr>
              <w:shd w:val="clear"/>
              <w:spacing w:line="360" w:lineRule="auto"/>
              <w:rPr>
                <w:rFonts w:hint="default" w:ascii="宋体" w:hAnsi="宋体" w:cs="宋体"/>
                <w:color w:val="auto"/>
                <w:sz w:val="21"/>
                <w:szCs w:val="21"/>
                <w:highlight w:val="none"/>
                <w:lang w:val="en-US"/>
              </w:rPr>
            </w:pPr>
            <w:r>
              <w:rPr>
                <w:rFonts w:hint="eastAsia" w:ascii="宋体" w:hAnsi="宋体" w:cs="宋体"/>
                <w:color w:val="auto"/>
                <w:sz w:val="21"/>
                <w:szCs w:val="21"/>
                <w:highlight w:val="none"/>
                <w:lang w:val="en-US" w:eastAsia="zh-CN"/>
              </w:rPr>
              <w:t>比选人分成比例</w:t>
            </w:r>
            <w:r>
              <w:rPr>
                <w:rFonts w:hint="eastAsia" w:ascii="宋体" w:cs="Times New Roman"/>
                <w:color w:val="auto"/>
                <w:sz w:val="21"/>
                <w:szCs w:val="21"/>
                <w:highlight w:val="none"/>
                <w:u w:val="none"/>
                <w:lang w:val="en-US" w:eastAsia="zh-CN"/>
              </w:rPr>
              <w:t>不低于</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lang w:val="en-US" w:eastAsia="zh-CN"/>
              </w:rPr>
              <w:t>/年</w:t>
            </w:r>
            <w:r>
              <w:rPr>
                <w:rFonts w:hint="eastAsia" w:ascii="宋体" w:hAnsi="宋体" w:eastAsia="宋体" w:cs="宋体"/>
                <w:color w:val="auto"/>
                <w:sz w:val="21"/>
                <w:szCs w:val="21"/>
                <w:highlight w:val="none"/>
                <w:lang w:val="en-US" w:eastAsia="zh-CN"/>
              </w:rPr>
              <w:t>，否则视为无效响应。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Align w:val="center"/>
          </w:tcPr>
          <w:p>
            <w:pPr>
              <w:shd w:val="clea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48" w:type="dxa"/>
            <w:vAlign w:val="center"/>
          </w:tcPr>
          <w:p>
            <w:pPr>
              <w:shd w:val="clea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服务部分（</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w:t>
            </w:r>
          </w:p>
        </w:tc>
        <w:tc>
          <w:tcPr>
            <w:tcW w:w="912" w:type="dxa"/>
            <w:vAlign w:val="center"/>
          </w:tcPr>
          <w:p>
            <w:pPr>
              <w:shd w:val="clea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建设及运维方案（30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5245" w:type="dxa"/>
            <w:vAlign w:val="center"/>
          </w:tcPr>
          <w:p>
            <w:pPr>
              <w:shd w:val="clear"/>
              <w:spacing w:line="276" w:lineRule="auto"/>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根据本项目实际情况，制定有针对性的</w:t>
            </w:r>
            <w:r>
              <w:rPr>
                <w:rFonts w:hint="eastAsia" w:ascii="宋体" w:hAnsi="宋体" w:cs="宋体"/>
                <w:color w:val="auto"/>
                <w:sz w:val="21"/>
                <w:szCs w:val="21"/>
                <w:highlight w:val="none"/>
                <w:lang w:val="en-US" w:eastAsia="zh-CN"/>
              </w:rPr>
              <w:t>建设及运维方案</w:t>
            </w:r>
            <w:r>
              <w:rPr>
                <w:rFonts w:hint="eastAsia" w:ascii="宋体" w:hAnsi="宋体" w:cs="宋体"/>
                <w:color w:val="auto"/>
                <w:sz w:val="21"/>
                <w:szCs w:val="21"/>
                <w:highlight w:val="none"/>
              </w:rPr>
              <w:t>，方案内容包含：</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建设方面：</w:t>
            </w:r>
            <w:r>
              <w:rPr>
                <w:rFonts w:hint="eastAsia" w:ascii="宋体" w:hAnsi="宋体" w:cs="宋体"/>
                <w:color w:val="auto"/>
                <w:sz w:val="21"/>
                <w:szCs w:val="21"/>
                <w:highlight w:val="none"/>
              </w:rPr>
              <w:t>①</w:t>
            </w:r>
            <w:r>
              <w:rPr>
                <w:rFonts w:hint="eastAsia" w:ascii="宋体" w:hAnsi="宋体" w:cs="宋体"/>
                <w:color w:val="auto"/>
                <w:sz w:val="21"/>
                <w:szCs w:val="21"/>
                <w:highlight w:val="none"/>
                <w:lang w:val="en-US" w:eastAsia="zh-CN"/>
              </w:rPr>
              <w:t>布局设计；</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建设周期的安排计划；</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寄存柜的质量保证措施；④寄存柜小、中、大号的数量规划。（2）运维方面：</w:t>
            </w:r>
            <w:r>
              <w:rPr>
                <w:rFonts w:hint="eastAsia" w:ascii="宋体" w:hAnsi="宋体" w:cs="宋体"/>
                <w:color w:val="auto"/>
                <w:sz w:val="21"/>
                <w:szCs w:val="21"/>
                <w:highlight w:val="none"/>
              </w:rPr>
              <w:t>①</w:t>
            </w:r>
            <w:r>
              <w:rPr>
                <w:rFonts w:hint="eastAsia" w:ascii="宋体" w:hAnsi="宋体" w:cs="宋体"/>
                <w:color w:val="auto"/>
                <w:sz w:val="21"/>
                <w:szCs w:val="21"/>
                <w:highlight w:val="none"/>
                <w:lang w:val="en-US" w:eastAsia="zh-CN"/>
              </w:rPr>
              <w:t>拟投入资金；</w:t>
            </w:r>
            <w:r>
              <w:rPr>
                <w:rFonts w:hint="eastAsia" w:ascii="宋体" w:hAnsi="宋体" w:cs="宋体"/>
                <w:color w:val="auto"/>
                <w:sz w:val="21"/>
                <w:szCs w:val="21"/>
                <w:highlight w:val="none"/>
              </w:rPr>
              <w:t>②</w:t>
            </w:r>
            <w:r>
              <w:rPr>
                <w:rFonts w:hint="eastAsia" w:ascii="宋体" w:hAnsi="宋体" w:cs="宋体"/>
                <w:color w:val="auto"/>
                <w:sz w:val="21"/>
                <w:szCs w:val="21"/>
                <w:highlight w:val="none"/>
                <w:lang w:val="en-US" w:eastAsia="zh-CN"/>
              </w:rPr>
              <w:t>管理架构；</w:t>
            </w:r>
            <w:r>
              <w:rPr>
                <w:rFonts w:hint="eastAsia" w:ascii="宋体" w:hAnsi="宋体" w:cs="宋体"/>
                <w:color w:val="auto"/>
                <w:sz w:val="21"/>
                <w:szCs w:val="21"/>
                <w:highlight w:val="none"/>
              </w:rPr>
              <w:t>③</w:t>
            </w:r>
            <w:r>
              <w:rPr>
                <w:rFonts w:hint="eastAsia" w:ascii="宋体" w:hAnsi="宋体" w:cs="宋体"/>
                <w:color w:val="auto"/>
                <w:sz w:val="21"/>
                <w:szCs w:val="21"/>
                <w:highlight w:val="none"/>
                <w:lang w:val="en-US" w:eastAsia="zh-CN"/>
              </w:rPr>
              <w:t>运营及维护的服务团队（人员配置清单、联系方式）；④管理及日常维护制度；⑤智能化管理（如支持APP/小程序扫码支付、远程监控、故障报警、帮助热线）；⑥寄存柜的推广与引导措施；⑦寄存柜小、中、大号的寄存价格。</w:t>
            </w:r>
          </w:p>
          <w:p>
            <w:pPr>
              <w:shd w:val="clea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评审要求：</w:t>
            </w:r>
          </w:p>
          <w:p>
            <w:pPr>
              <w:shd w:val="clea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对应内容不存在瑕疵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30</w:t>
            </w:r>
            <w:r>
              <w:rPr>
                <w:rFonts w:hint="eastAsia" w:ascii="宋体" w:hAnsi="宋体" w:cs="宋体"/>
                <w:color w:val="auto"/>
                <w:kern w:val="0"/>
                <w:sz w:val="21"/>
                <w:szCs w:val="21"/>
                <w:highlight w:val="none"/>
              </w:rPr>
              <w:t>分；</w:t>
            </w:r>
          </w:p>
          <w:p>
            <w:pPr>
              <w:shd w:val="clea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对应内容存在1处瑕疵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分；</w:t>
            </w:r>
          </w:p>
          <w:p>
            <w:pPr>
              <w:shd w:val="clea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对应内容存在2处瑕疵</w:t>
            </w:r>
            <w:r>
              <w:rPr>
                <w:rFonts w:hint="eastAsia" w:ascii="宋体" w:hAnsi="宋体" w:cs="宋体"/>
                <w:color w:val="auto"/>
                <w:kern w:val="0"/>
                <w:sz w:val="21"/>
                <w:szCs w:val="21"/>
                <w:highlight w:val="none"/>
                <w:lang w:val="en-US" w:eastAsia="zh-CN"/>
              </w:rPr>
              <w:t>的</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w:t>
            </w:r>
          </w:p>
          <w:p>
            <w:pPr>
              <w:shd w:val="clear"/>
              <w:spacing w:line="240" w:lineRule="atLeas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方案内容存在</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处以上瑕疵或未提供得0分。</w:t>
            </w:r>
          </w:p>
        </w:tc>
        <w:tc>
          <w:tcPr>
            <w:tcW w:w="1871" w:type="dxa"/>
            <w:vAlign w:val="center"/>
          </w:tcPr>
          <w:p>
            <w:pPr>
              <w:shd w:val="clea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提供方案，格式自拟。</w:t>
            </w:r>
          </w:p>
          <w:p>
            <w:pPr>
              <w:shd w:val="clea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注：本项内容中所称的“瑕疵”指以下内容：</w:t>
            </w:r>
          </w:p>
          <w:p>
            <w:pPr>
              <w:shd w:val="clea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①内容未包含全部项目需求，存在漏项，完整性不足；</w:t>
            </w:r>
          </w:p>
          <w:p>
            <w:pPr>
              <w:shd w:val="clea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②存在项目名称错误、地点区域错误；</w:t>
            </w:r>
          </w:p>
          <w:p>
            <w:pPr>
              <w:shd w:val="clea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③方案内容过于简略，仅有框架或标题；</w:t>
            </w:r>
          </w:p>
          <w:p>
            <w:pPr>
              <w:shd w:val="clea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④方案内容与本项目包含内容无关；</w:t>
            </w:r>
          </w:p>
          <w:p>
            <w:pPr>
              <w:shd w:val="clea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⑤内容逻辑漏洞或原理错误；</w:t>
            </w:r>
          </w:p>
          <w:p>
            <w:pPr>
              <w:shd w:val="clear"/>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⑥方案中内容前后不一致、前后逻辑错误、涉及的规范及标准错误。</w:t>
            </w:r>
          </w:p>
          <w:p>
            <w:pPr>
              <w:shd w:val="clea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上述任意一种情形为1处瑕疵。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3" w:type="dxa"/>
            <w:vAlign w:val="center"/>
          </w:tcPr>
          <w:p>
            <w:pPr>
              <w:shd w:val="clea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248" w:type="dxa"/>
            <w:vAlign w:val="center"/>
          </w:tcPr>
          <w:p>
            <w:pPr>
              <w:shd w:val="clear"/>
              <w:spacing w:line="240" w:lineRule="atLeast"/>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商务部分</w:t>
            </w:r>
          </w:p>
          <w:p>
            <w:pPr>
              <w:shd w:val="clea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0%）</w:t>
            </w:r>
          </w:p>
        </w:tc>
        <w:tc>
          <w:tcPr>
            <w:tcW w:w="912" w:type="dxa"/>
            <w:vAlign w:val="center"/>
          </w:tcPr>
          <w:p>
            <w:pPr>
              <w:shd w:val="clear"/>
              <w:spacing w:line="240" w:lineRule="atLeast"/>
              <w:jc w:val="cente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业绩</w:t>
            </w:r>
          </w:p>
          <w:p>
            <w:pPr>
              <w:shd w:val="clea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zh-CN"/>
              </w:rPr>
              <w:t>）</w:t>
            </w:r>
          </w:p>
        </w:tc>
        <w:tc>
          <w:tcPr>
            <w:tcW w:w="5245" w:type="dxa"/>
            <w:vAlign w:val="center"/>
          </w:tcPr>
          <w:p>
            <w:pPr>
              <w:shd w:val="clear"/>
              <w:spacing w:line="276" w:lineRule="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供应商在2019年1月1日至响应截止时间（以合同签订时间为准），承担过寄存柜运营的，每提供1个得10分。最多20分。</w:t>
            </w:r>
          </w:p>
        </w:tc>
        <w:tc>
          <w:tcPr>
            <w:tcW w:w="1871" w:type="dxa"/>
            <w:vAlign w:val="center"/>
          </w:tcPr>
          <w:p>
            <w:pPr>
              <w:shd w:val="clear"/>
              <w:spacing w:line="276"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业绩须提供合同复印件加盖供应商公章。</w:t>
            </w:r>
          </w:p>
        </w:tc>
      </w:tr>
      <w:bookmarkEnd w:id="139"/>
      <w:bookmarkEnd w:id="140"/>
      <w:bookmarkEnd w:id="141"/>
      <w:bookmarkEnd w:id="142"/>
    </w:tbl>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3" w:name="_Toc24604"/>
      <w:bookmarkEnd w:id="143"/>
      <w:bookmarkStart w:id="144" w:name="_Toc76462335"/>
      <w:bookmarkEnd w:id="144"/>
      <w:bookmarkStart w:id="145" w:name="_Toc106030889"/>
      <w:bookmarkEnd w:id="145"/>
      <w:bookmarkStart w:id="146" w:name="_Toc106030890"/>
      <w:bookmarkEnd w:id="146"/>
      <w:bookmarkStart w:id="147" w:name="_Toc8811"/>
      <w:bookmarkEnd w:id="147"/>
      <w:bookmarkStart w:id="148" w:name="_Toc76462334"/>
      <w:bookmarkEnd w:id="148"/>
      <w:bookmarkStart w:id="149" w:name="_Toc8592"/>
      <w:bookmarkStart w:id="150" w:name="_Toc12242"/>
      <w:bookmarkStart w:id="151" w:name="_Toc20661"/>
      <w:bookmarkStart w:id="152" w:name="_Toc102227320"/>
      <w:bookmarkStart w:id="153" w:name="_Toc342913394"/>
      <w:r>
        <w:rPr>
          <w:rFonts w:hint="eastAsia" w:asciiTheme="minorEastAsia" w:hAnsiTheme="minorEastAsia" w:eastAsiaTheme="minorEastAsia" w:cstheme="minorEastAsia"/>
          <w:color w:val="auto"/>
          <w:sz w:val="24"/>
          <w:highlight w:val="none"/>
        </w:rPr>
        <w:t>三、无效响应</w:t>
      </w:r>
      <w:bookmarkEnd w:id="149"/>
      <w:bookmarkEnd w:id="150"/>
      <w:bookmarkEnd w:id="151"/>
    </w:p>
    <w:p>
      <w:pPr>
        <w:shd w:val="clea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pPr>
        <w:shd w:val="clea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pPr>
        <w:shd w:val="clea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（二）供应商的法定代表人（或其授权代表）或自然人未到现场参加比选；</w:t>
      </w:r>
    </w:p>
    <w:p>
      <w:pPr>
        <w:shd w:val="clea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”要求签署或盖章；</w:t>
      </w:r>
    </w:p>
    <w:p>
      <w:pPr>
        <w:shd w:val="clea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（四）供应商的比选报价</w:t>
      </w:r>
      <w:r>
        <w:rPr>
          <w:rFonts w:hint="eastAsia" w:asciiTheme="minorEastAsia" w:hAnsiTheme="minorEastAsia" w:eastAsiaTheme="minorEastAsia" w:cstheme="minorEastAsia"/>
          <w:color w:val="auto"/>
          <w:sz w:val="24"/>
          <w:szCs w:val="24"/>
          <w:highlight w:val="none"/>
          <w:lang w:val="en-US" w:eastAsia="zh-CN"/>
        </w:rPr>
        <w:t>低于</w:t>
      </w:r>
      <w:r>
        <w:rPr>
          <w:rFonts w:hint="eastAsia" w:asciiTheme="minorEastAsia" w:hAnsiTheme="minorEastAsia" w:eastAsiaTheme="minorEastAsia" w:cstheme="minorEastAsia"/>
          <w:color w:val="auto"/>
          <w:sz w:val="24"/>
          <w:szCs w:val="24"/>
          <w:highlight w:val="none"/>
        </w:rPr>
        <w:t>采购预算或最</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rPr>
        <w:t>限价的；</w:t>
      </w:r>
    </w:p>
    <w:p>
      <w:pPr>
        <w:shd w:val="clea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）单位负责人为同一人或者存在直接控股、管理关系的不同供应商，独立参加同一合同项下的政府采购活动的；</w:t>
      </w:r>
    </w:p>
    <w:p>
      <w:pPr>
        <w:shd w:val="clear"/>
        <w:snapToGrid w:val="0"/>
        <w:spacing w:line="400" w:lineRule="exact"/>
        <w:ind w:firstLine="480" w:firstLineChars="200"/>
        <w:rPr>
          <w:rFonts w:hint="eastAsia" w:eastAsia="宋体" w:asciiTheme="minorEastAsia" w:hAnsi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sz w:val="24"/>
          <w:szCs w:val="24"/>
          <w:highlight w:val="none"/>
        </w:rPr>
        <w:t>为采购项目提供整体设计、规范编制或者项目管理、监理、检测等服务的供应商再参加该采购项目的其他采购活动的</w:t>
      </w:r>
      <w:r>
        <w:rPr>
          <w:rFonts w:hint="eastAsia" w:ascii="宋体" w:hAnsi="宋体" w:cs="宋体"/>
          <w:sz w:val="24"/>
          <w:szCs w:val="24"/>
          <w:highlight w:val="none"/>
          <w:lang w:eastAsia="zh-CN"/>
        </w:rPr>
        <w:t>。</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供应商比选有效期不满足竞争性比选文件要求的；</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）供应商响应文件内容有与国家现行法律法规相违背的内容，或附有</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无法接受的条件；</w:t>
      </w:r>
    </w:p>
    <w:p>
      <w:pPr>
        <w:shd w:val="clear"/>
        <w:snapToGrid w:val="0"/>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sz w:val="24"/>
          <w:szCs w:val="24"/>
          <w:highlight w:val="none"/>
          <w:lang w:val="en-US" w:eastAsia="zh-CN"/>
        </w:rPr>
        <w:t>未在规定时间内将</w:t>
      </w:r>
      <w:r>
        <w:rPr>
          <w:rFonts w:hint="eastAsia" w:ascii="宋体" w:hAnsi="宋体" w:cs="宋体"/>
          <w:color w:val="auto"/>
          <w:sz w:val="24"/>
          <w:szCs w:val="24"/>
          <w:highlight w:val="none"/>
          <w:lang w:val="en-US" w:eastAsia="zh-CN"/>
        </w:rPr>
        <w:t>《比选文件发售登记表</w:t>
      </w:r>
      <w:r>
        <w:rPr>
          <w:rFonts w:hint="eastAsia" w:ascii="宋体" w:hAnsi="宋体" w:eastAsia="宋体" w:cs="宋体"/>
          <w:color w:val="auto"/>
          <w:sz w:val="24"/>
          <w:szCs w:val="24"/>
          <w:highlight w:val="none"/>
          <w:lang w:val="en-US" w:eastAsia="zh-CN"/>
        </w:rPr>
        <w:t>》发送至</w:t>
      </w:r>
      <w:r>
        <w:rPr>
          <w:rFonts w:hint="eastAsia" w:ascii="宋体" w:hAnsi="宋体" w:cs="宋体"/>
          <w:color w:val="auto"/>
          <w:sz w:val="24"/>
          <w:szCs w:val="24"/>
          <w:highlight w:val="none"/>
          <w:lang w:val="en-US" w:eastAsia="zh-CN"/>
        </w:rPr>
        <w:t>比选代理机构</w:t>
      </w:r>
      <w:r>
        <w:rPr>
          <w:rFonts w:hint="eastAsia" w:ascii="宋体" w:hAnsi="宋体" w:eastAsia="宋体" w:cs="宋体"/>
          <w:color w:val="auto"/>
          <w:sz w:val="24"/>
          <w:szCs w:val="24"/>
          <w:highlight w:val="none"/>
          <w:lang w:val="en-US" w:eastAsia="zh-CN"/>
        </w:rPr>
        <w:t>邮箱的</w:t>
      </w:r>
      <w:r>
        <w:rPr>
          <w:rFonts w:hint="eastAsia" w:asciiTheme="minorEastAsia" w:hAnsiTheme="minorEastAsia" w:eastAsiaTheme="minorEastAsia" w:cstheme="minorEastAsia"/>
          <w:color w:val="auto"/>
          <w:sz w:val="24"/>
          <w:szCs w:val="24"/>
          <w:highlight w:val="none"/>
        </w:rPr>
        <w:t>；</w:t>
      </w:r>
    </w:p>
    <w:p>
      <w:pPr>
        <w:shd w:val="clear"/>
        <w:snapToGrid w:val="0"/>
        <w:spacing w:line="400" w:lineRule="exact"/>
        <w:ind w:firstLine="46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lang w:eastAsia="zh-CN"/>
        </w:rPr>
        <w:t>）未按照</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文件的规定提交</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保证金的；</w:t>
      </w:r>
    </w:p>
    <w:p>
      <w:pPr>
        <w:shd w:val="clea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十一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法律、法规和竞争性比选文件规定的其他无效情形。</w:t>
      </w:r>
    </w:p>
    <w:bookmarkEnd w:id="152"/>
    <w:bookmarkEnd w:id="153"/>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54" w:name="_Toc21054"/>
      <w:bookmarkEnd w:id="154"/>
      <w:bookmarkStart w:id="155" w:name="_Toc106030891"/>
      <w:bookmarkEnd w:id="155"/>
      <w:bookmarkStart w:id="156" w:name="_Toc76462336"/>
      <w:bookmarkEnd w:id="156"/>
      <w:bookmarkStart w:id="157" w:name="_Toc18456"/>
      <w:bookmarkStart w:id="158" w:name="_Toc30757"/>
      <w:bookmarkStart w:id="159" w:name="_Toc2577"/>
      <w:r>
        <w:rPr>
          <w:rFonts w:hint="eastAsia" w:asciiTheme="minorEastAsia" w:hAnsiTheme="minorEastAsia" w:eastAsiaTheme="minorEastAsia" w:cstheme="minorEastAsia"/>
          <w:color w:val="auto"/>
          <w:sz w:val="24"/>
          <w:highlight w:val="none"/>
        </w:rPr>
        <w:t>四、采购终止</w:t>
      </w:r>
      <w:bookmarkEnd w:id="157"/>
      <w:bookmarkEnd w:id="158"/>
      <w:bookmarkEnd w:id="159"/>
    </w:p>
    <w:p>
      <w:pPr>
        <w:shd w:val="clea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应当终止竞争性比选采购活动，发布项目终止公告并说明原因，重新开展采购活动：</w:t>
      </w:r>
    </w:p>
    <w:p>
      <w:pPr>
        <w:shd w:val="clea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（一）因情况变化，不再符合规定的竞争性比选采购方式适用情形的；</w:t>
      </w:r>
    </w:p>
    <w:p>
      <w:pPr>
        <w:shd w:val="clea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pPr>
        <w:shd w:val="clea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（三）通过资格性及符合性审查的供应商不足3家的。</w:t>
      </w:r>
    </w:p>
    <w:p>
      <w:pPr>
        <w:pStyle w:val="4"/>
        <w:pageBreakBefore/>
        <w:shd w:val="clear"/>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160" w:name="_Toc76462337"/>
      <w:bookmarkEnd w:id="160"/>
      <w:bookmarkStart w:id="161" w:name="_Toc102227313"/>
      <w:bookmarkEnd w:id="161"/>
      <w:bookmarkStart w:id="162" w:name="_Toc106030892"/>
      <w:bookmarkEnd w:id="162"/>
      <w:bookmarkStart w:id="163" w:name="_Toc32240"/>
      <w:bookmarkEnd w:id="163"/>
      <w:bookmarkStart w:id="164" w:name="_Toc31318"/>
      <w:bookmarkStart w:id="165" w:name="_Toc16781"/>
      <w:bookmarkStart w:id="166" w:name="_Toc27960"/>
      <w:r>
        <w:rPr>
          <w:rFonts w:hint="eastAsia" w:asciiTheme="minorEastAsia" w:hAnsiTheme="minorEastAsia" w:eastAsiaTheme="minorEastAsia" w:cstheme="minorEastAsia"/>
          <w:color w:val="auto"/>
          <w:sz w:val="36"/>
          <w:szCs w:val="30"/>
          <w:highlight w:val="none"/>
        </w:rPr>
        <w:t>第五篇  供应商须知</w:t>
      </w:r>
      <w:bookmarkEnd w:id="164"/>
      <w:bookmarkEnd w:id="165"/>
      <w:bookmarkEnd w:id="166"/>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7" w:name="_Toc76462338"/>
      <w:bookmarkEnd w:id="167"/>
      <w:bookmarkStart w:id="168" w:name="_Toc11013"/>
      <w:bookmarkEnd w:id="168"/>
      <w:bookmarkStart w:id="169" w:name="_Toc342913389"/>
      <w:bookmarkEnd w:id="169"/>
      <w:bookmarkStart w:id="170" w:name="_Toc106030893"/>
      <w:bookmarkEnd w:id="170"/>
      <w:bookmarkStart w:id="171" w:name="_Toc15712"/>
      <w:bookmarkStart w:id="172" w:name="_Toc31641"/>
      <w:bookmarkStart w:id="173" w:name="_Toc22841"/>
      <w:r>
        <w:rPr>
          <w:rFonts w:hint="eastAsia" w:asciiTheme="minorEastAsia" w:hAnsiTheme="minorEastAsia" w:eastAsiaTheme="minorEastAsia" w:cstheme="minorEastAsia"/>
          <w:color w:val="auto"/>
          <w:sz w:val="24"/>
          <w:highlight w:val="none"/>
        </w:rPr>
        <w:t>一、比选费用</w:t>
      </w:r>
      <w:bookmarkEnd w:id="171"/>
      <w:bookmarkEnd w:id="172"/>
      <w:bookmarkEnd w:id="173"/>
    </w:p>
    <w:p>
      <w:pPr>
        <w:pStyle w:val="156"/>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参与比选的供应商应承担其编制响应文件与递交响应文件所涉及的一切费用，不论比选结果如何，</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在任何情况下无义务也无责任承担这些费用。</w:t>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74" w:name="_Toc106030894"/>
      <w:bookmarkEnd w:id="174"/>
      <w:bookmarkStart w:id="175" w:name="_Toc342913391"/>
      <w:bookmarkEnd w:id="175"/>
      <w:bookmarkStart w:id="176" w:name="_Toc11832"/>
      <w:bookmarkEnd w:id="176"/>
      <w:bookmarkStart w:id="177" w:name="_Toc76462339"/>
      <w:bookmarkEnd w:id="177"/>
      <w:bookmarkStart w:id="178" w:name="_Toc21109"/>
      <w:bookmarkStart w:id="179" w:name="_Toc17476"/>
      <w:bookmarkStart w:id="180" w:name="_Toc19531"/>
      <w:r>
        <w:rPr>
          <w:rFonts w:hint="eastAsia" w:asciiTheme="minorEastAsia" w:hAnsiTheme="minorEastAsia" w:eastAsiaTheme="minorEastAsia" w:cstheme="minorEastAsia"/>
          <w:color w:val="auto"/>
          <w:sz w:val="24"/>
          <w:highlight w:val="none"/>
        </w:rPr>
        <w:t>二、竞争性比选文件</w:t>
      </w:r>
      <w:bookmarkEnd w:id="178"/>
      <w:bookmarkEnd w:id="179"/>
      <w:bookmarkEnd w:id="180"/>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（一）竞争性比选文件由采购邀请书、项目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需求、供应商须知、项目商务需求、</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程序及方法、评审标准、无效响应和采购终止、合同主要条款和格式合同（样本）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响应文件编制要求</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部分组成。</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）所作的一切有效的书面通知、修改及补充，都是竞争性比选文件不可分割的部分。</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（三）竞争性比选文件的解释</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供应商如对竞争性比选文件有疑问，以电话形式在提交响应文件截止时间1个工作日前向</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咨询。如供应商未提出疑问，视为完全理解并同意本竞争性比选文件。一经进入评审程序，即视为供应商已详细阅读全部文件资料，完全理解竞争性比选文件所有条款内容并同意放弃对这方面有不明白及误解的权利。</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（四）评审的依据为竞争性比选文件和响应文件（含有效的书面承诺）。评审小组判断响应文件对竞争性比选文件的响应，仅基于响应文件本身而不靠外部证据。</w:t>
      </w:r>
    </w:p>
    <w:p>
      <w:pPr>
        <w:shd w:val="clear"/>
        <w:spacing w:line="400" w:lineRule="exact"/>
        <w:ind w:firstLine="480" w:firstLineChars="200"/>
        <w:outlineLvl w:val="9"/>
        <w:rPr>
          <w:rFonts w:hint="eastAsia" w:asciiTheme="minorEastAsia" w:hAnsiTheme="minorEastAsia" w:eastAsiaTheme="minorEastAsia" w:cstheme="minorEastAsia"/>
          <w:color w:val="auto"/>
          <w:sz w:val="24"/>
          <w:szCs w:val="24"/>
          <w:highlight w:val="none"/>
          <w:lang w:eastAsia="zh-CN"/>
        </w:rPr>
      </w:pPr>
      <w:bookmarkStart w:id="181" w:name="_Toc102227318"/>
      <w:bookmarkEnd w:id="181"/>
      <w:bookmarkStart w:id="182" w:name="_Toc106030895"/>
      <w:bookmarkEnd w:id="182"/>
      <w:bookmarkStart w:id="183" w:name="_Toc179714297"/>
      <w:bookmarkEnd w:id="183"/>
      <w:bookmarkStart w:id="184" w:name="_Toc342913392"/>
      <w:bookmarkEnd w:id="184"/>
      <w:bookmarkStart w:id="185" w:name="_Toc29817"/>
      <w:bookmarkEnd w:id="185"/>
      <w:bookmarkStart w:id="186" w:name="_Toc76462340"/>
      <w:bookmarkEnd w:id="186"/>
      <w:bookmarkStart w:id="187" w:name="_Toc23795"/>
      <w:bookmarkStart w:id="188" w:name="_Toc4662"/>
      <w:bookmarkStart w:id="189" w:name="_Toc18294"/>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有效期</w:t>
      </w:r>
    </w:p>
    <w:p>
      <w:pPr>
        <w:shd w:val="clear"/>
        <w:spacing w:line="400" w:lineRule="exact"/>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有效期为</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截止时间起90天。</w:t>
      </w:r>
    </w:p>
    <w:p>
      <w:pPr>
        <w:shd w:val="clea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）比选保证金</w:t>
      </w:r>
    </w:p>
    <w:p>
      <w:pPr>
        <w:shd w:val="clear"/>
        <w:snapToGrid/>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文件规定交纳</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的有效约束条件。</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的有效期限在</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有效期过后三十天继续有效。</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币种应与</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报价币种相同。</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评选结束后，比选人将退还除成交供应商以外的供应商的比选保证金，合同签订后无息退还成交供应商的比选保证金。</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有下列情形之一的，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可以不退还</w:t>
      </w:r>
      <w:r>
        <w:rPr>
          <w:rFonts w:hint="eastAsia" w:asciiTheme="minorEastAsia" w:hAnsiTheme="minorEastAsia" w:eastAsiaTheme="minorEastAsia" w:cstheme="minorEastAsia"/>
          <w:color w:val="auto"/>
          <w:sz w:val="24"/>
          <w:szCs w:val="24"/>
          <w:highlight w:val="none"/>
          <w:lang w:eastAsia="zh-CN"/>
        </w:rPr>
        <w:t>比选保证金</w:t>
      </w:r>
      <w:r>
        <w:rPr>
          <w:rFonts w:hint="eastAsia" w:asciiTheme="minorEastAsia" w:hAnsiTheme="minorEastAsia" w:eastAsiaTheme="minorEastAsia" w:cstheme="minorEastAsia"/>
          <w:color w:val="auto"/>
          <w:sz w:val="24"/>
          <w:szCs w:val="24"/>
          <w:highlight w:val="none"/>
        </w:rPr>
        <w:t>：</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有效期撤回</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文件的；</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未按规定提交履约保证金的；</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过程中弄虚作假，提供虚假材料的；</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无正当理由不与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签订合同的；</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项目转让给他人或者在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中未说明且未经</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同意，将</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项目分包给他人的；</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拒绝履行合同义务的；</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6.7其他严重扰乱招投标程序的。</w:t>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三、参选要求</w:t>
      </w:r>
      <w:bookmarkEnd w:id="187"/>
      <w:bookmarkEnd w:id="188"/>
      <w:bookmarkEnd w:id="189"/>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供应商应当按照竞争性比选文件的要求编制响应文件，并对竞争性比选文件提出的要求和条件作出实质性响应，响应文件原则上采用软面订本，同时应编制完整的页码、目录。</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响应文件组成</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”规定的部分和供应商所作的一切有效补充、修改和承诺等文件组成，供应商应按照“</w:t>
      </w:r>
      <w:r>
        <w:rPr>
          <w:rFonts w:hint="eastAsia" w:asciiTheme="minorEastAsia" w:hAnsiTheme="minorEastAsia" w:eastAsiaTheme="minorEastAsia" w:cstheme="minorEastAsia"/>
          <w:color w:val="auto"/>
          <w:sz w:val="24"/>
          <w:szCs w:val="24"/>
          <w:highlight w:val="none"/>
          <w:lang w:eastAsia="zh-CN"/>
        </w:rPr>
        <w:t>第七篇响应文件编制要求</w:t>
      </w:r>
      <w:r>
        <w:rPr>
          <w:rFonts w:hint="eastAsia" w:asciiTheme="minorEastAsia" w:hAnsiTheme="minorEastAsia" w:eastAsiaTheme="minorEastAsia" w:cstheme="minorEastAsia"/>
          <w:color w:val="auto"/>
          <w:sz w:val="24"/>
          <w:szCs w:val="24"/>
          <w:highlight w:val="none"/>
        </w:rPr>
        <w:t>”规定的目录顺序组织编写和装订，也可在基本格式基础上对表格进行扩展，未规定格式的由供应商自定格式。</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（二）比选有效期：响应文件及有关承诺文件有效期为提交响应文件截止时间起90天。</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（三）修正错误</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若供应商所递交的响应文件中的价格出现大写金额和小写金额不一致的错误，以大写金额修正为准。</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评审小组按上述修正错误的原则及方法修正供应商的报价，供应商同意并签字确认后，修正后的报价对供应商具有约束作用。如果供应商不接受修正后的价格，将失去成为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的资格。</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（四）提交响应文件的份数和签署</w:t>
      </w:r>
    </w:p>
    <w:p>
      <w:pPr>
        <w:shd w:val="clear"/>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1、响应文件一式四份，其中</w:t>
      </w:r>
      <w:r>
        <w:rPr>
          <w:rFonts w:hint="eastAsia" w:asciiTheme="minorEastAsia" w:hAnsiTheme="minorEastAsia" w:eastAsiaTheme="minorEastAsia" w:cstheme="minorEastAsia"/>
          <w:b/>
          <w:bCs/>
          <w:color w:val="auto"/>
          <w:sz w:val="24"/>
          <w:highlight w:val="none"/>
        </w:rPr>
        <w:t>正本一份，副本二份，电子文档一份</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32"/>
          <w:szCs w:val="22"/>
          <w:highlight w:val="none"/>
          <w:lang w:val="en-US" w:eastAsia="zh-CN"/>
        </w:rPr>
        <w:t>电子文档应为签字盖章后的PDF格式</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电子文档内容应与纸质文件正本一致，如不一致以纸质文件正本为准。推荐采用U盘</w:t>
      </w:r>
      <w:r>
        <w:rPr>
          <w:rFonts w:hint="eastAsia" w:asciiTheme="minorEastAsia" w:hAnsiTheme="minorEastAsia" w:eastAsiaTheme="minorEastAsia" w:cstheme="minorEastAsia"/>
          <w:color w:val="auto"/>
          <w:sz w:val="24"/>
          <w:highlight w:val="none"/>
          <w:lang w:val="en-US" w:eastAsia="zh-CN"/>
        </w:rPr>
        <w:t>或光盘</w:t>
      </w:r>
      <w:r>
        <w:rPr>
          <w:rFonts w:hint="eastAsia" w:asciiTheme="minorEastAsia" w:hAnsiTheme="minorEastAsia" w:eastAsiaTheme="minorEastAsia" w:cstheme="minorEastAsia"/>
          <w:color w:val="auto"/>
          <w:sz w:val="24"/>
          <w:highlight w:val="none"/>
        </w:rPr>
        <w:t>为电子文档载体）；副本可为正本的复印件，应与正本一致，如出现不一致情况以正本为准。</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2、在响应文件正本中，</w:t>
      </w:r>
      <w:r>
        <w:rPr>
          <w:rFonts w:hint="eastAsia" w:asciiTheme="minorEastAsia" w:hAnsiTheme="minorEastAsia" w:eastAsiaTheme="minorEastAsia" w:cstheme="minorEastAsia"/>
          <w:color w:val="auto"/>
          <w:sz w:val="24"/>
          <w:highlight w:val="none"/>
          <w:lang w:eastAsia="zh-CN"/>
        </w:rPr>
        <w:t>竞争性比选文件</w:t>
      </w:r>
      <w:r>
        <w:rPr>
          <w:rFonts w:hint="eastAsia" w:asciiTheme="minorEastAsia" w:hAnsiTheme="minorEastAsia" w:eastAsiaTheme="minorEastAsia" w:cstheme="minorEastAsia"/>
          <w:color w:val="auto"/>
          <w:sz w:val="24"/>
          <w:highlight w:val="none"/>
        </w:rPr>
        <w:t>第七篇响应文件编制要求中规定签字、盖章的地方必须按其规定签字、盖章。</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（五）响应文件的递交</w:t>
      </w:r>
    </w:p>
    <w:p>
      <w:pPr>
        <w:pStyle w:val="30"/>
        <w:shd w:val="clea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1、响应文件的密封</w:t>
      </w:r>
    </w:p>
    <w:p>
      <w:pPr>
        <w:pStyle w:val="30"/>
        <w:shd w:val="clea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响应文件的正本、副本以及电子文档均应密封送达递交响应文件地点，应在封套上注明项目名称、供应商名称。若正本、副本以及电子文档分别进行密封的，还应在封套上注明“正本”、“副本”、“电子文档”字样。</w:t>
      </w:r>
    </w:p>
    <w:p>
      <w:pPr>
        <w:pStyle w:val="30"/>
        <w:shd w:val="clea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1.2封套的封口处应加盖供应商公章或由法定代表人授权代表签字。</w:t>
      </w:r>
    </w:p>
    <w:p>
      <w:pPr>
        <w:pStyle w:val="30"/>
        <w:shd w:val="clea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2、如果未按上述规定进行密封，</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对响应文件误投、丢失或提前拆封不负责任。</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（六）供应商参与人员</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各个供应商应当派1-2名代表参与比选，至少1人应为法定代表人（或其授权代表）或自然人（供应商为自然人）。</w:t>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90" w:name="_Toc106030896"/>
      <w:bookmarkEnd w:id="190"/>
      <w:bookmarkStart w:id="191" w:name="_Toc76462341"/>
      <w:bookmarkEnd w:id="191"/>
      <w:bookmarkStart w:id="192" w:name="_Toc9369"/>
      <w:bookmarkEnd w:id="192"/>
      <w:bookmarkStart w:id="193" w:name="_Toc30084"/>
      <w:bookmarkStart w:id="194" w:name="_Toc26377"/>
      <w:bookmarkStart w:id="195" w:name="_Toc3623"/>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的确认和变更</w:t>
      </w:r>
      <w:bookmarkEnd w:id="193"/>
      <w:bookmarkEnd w:id="194"/>
      <w:bookmarkEnd w:id="195"/>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的确认</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应当在评审结束后2个工作日内将评审报告送</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确认。</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应当在收到评审报告后5个工作日内，从评审报告提出的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中，按照排序由高到低的原则确定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，也可以书面授权评审小组直接确定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逾期未确定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且不提出异议的，视为确定评审报告提出的排序第一的供应商为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的变更</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拒绝与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签订合同的，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可以按照评标报告推荐的</w:t>
      </w:r>
      <w:r>
        <w:rPr>
          <w:rFonts w:hint="eastAsia" w:asciiTheme="minorEastAsia" w:hAnsiTheme="minorEastAsia" w:eastAsiaTheme="minorEastAsia" w:cstheme="minorEastAsia"/>
          <w:color w:val="auto"/>
          <w:sz w:val="24"/>
          <w:szCs w:val="24"/>
          <w:highlight w:val="none"/>
          <w:lang w:eastAsia="zh-CN"/>
        </w:rPr>
        <w:t>成交候选人</w:t>
      </w:r>
      <w:r>
        <w:rPr>
          <w:rFonts w:hint="eastAsia" w:asciiTheme="minorEastAsia" w:hAnsiTheme="minorEastAsia" w:eastAsiaTheme="minorEastAsia" w:cstheme="minorEastAsia"/>
          <w:color w:val="auto"/>
          <w:sz w:val="24"/>
          <w:szCs w:val="24"/>
          <w:highlight w:val="none"/>
        </w:rPr>
        <w:t>顺序，确定排名下一位的候选人为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，也可以重新开展采购活动。</w:t>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96" w:name="_Toc102227321"/>
      <w:bookmarkEnd w:id="196"/>
      <w:bookmarkStart w:id="197" w:name="_Toc342913395"/>
      <w:bookmarkEnd w:id="197"/>
      <w:bookmarkStart w:id="198" w:name="_Toc76462342"/>
      <w:bookmarkEnd w:id="198"/>
      <w:bookmarkStart w:id="199" w:name="_Toc106030897"/>
      <w:bookmarkEnd w:id="199"/>
      <w:bookmarkStart w:id="200" w:name="_Toc29760"/>
      <w:bookmarkEnd w:id="200"/>
      <w:bookmarkStart w:id="201" w:name="_Toc20908"/>
      <w:bookmarkStart w:id="202" w:name="_Toc10489"/>
      <w:bookmarkStart w:id="203" w:name="_Toc994"/>
      <w:r>
        <w:rPr>
          <w:rFonts w:hint="eastAsia" w:asciiTheme="minorEastAsia" w:hAnsiTheme="minorEastAsia" w:eastAsiaTheme="minorEastAsia" w:cstheme="minorEastAsia"/>
          <w:color w:val="auto"/>
          <w:sz w:val="24"/>
          <w:highlight w:val="none"/>
        </w:rPr>
        <w:t>五、成交通知</w:t>
      </w:r>
      <w:bookmarkEnd w:id="201"/>
      <w:bookmarkEnd w:id="202"/>
      <w:bookmarkEnd w:id="203"/>
    </w:p>
    <w:p>
      <w:pPr>
        <w:keepNext w:val="0"/>
        <w:keepLines w:val="0"/>
        <w:pageBreakBefore w:val="0"/>
        <w:widowControl w:val="0"/>
        <w:shd w:val="clear"/>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确定后，</w:t>
      </w:r>
      <w:r>
        <w:rPr>
          <w:rFonts w:hint="eastAsia" w:asciiTheme="minorEastAsia" w:hAnsiTheme="minorEastAsia" w:eastAsiaTheme="minorEastAsia" w:cstheme="minorEastAsia"/>
          <w:color w:val="auto"/>
          <w:sz w:val="24"/>
          <w:szCs w:val="24"/>
          <w:highlight w:val="none"/>
          <w:lang w:val="en-US" w:eastAsia="zh-CN"/>
        </w:rPr>
        <w:t>比选人或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将在</w:t>
      </w:r>
      <w:r>
        <w:rPr>
          <w:rFonts w:hint="eastAsia" w:ascii="宋体" w:hAnsi="宋体" w:eastAsia="宋体" w:cs="宋体"/>
          <w:sz w:val="24"/>
          <w:szCs w:val="24"/>
          <w:highlight w:val="none"/>
          <w:lang w:eastAsia="zh-CN"/>
        </w:rPr>
        <w:t>“重庆</w:t>
      </w:r>
      <w:r>
        <w:rPr>
          <w:rFonts w:hint="eastAsia" w:ascii="宋体" w:hAnsi="宋体" w:eastAsia="宋体" w:cs="宋体"/>
          <w:sz w:val="24"/>
          <w:szCs w:val="24"/>
          <w:highlight w:val="none"/>
          <w:lang w:val="en-US" w:eastAsia="zh-CN"/>
        </w:rPr>
        <w:t>园博园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（http://www.cqybh2011.com/cqyby/index.html）</w:t>
      </w:r>
      <w:r>
        <w:rPr>
          <w:rFonts w:hint="eastAsia" w:ascii="宋体" w:hAnsi="宋体" w:eastAsia="宋体" w:cs="宋体"/>
          <w:sz w:val="24"/>
          <w:szCs w:val="24"/>
          <w:highlight w:val="none"/>
          <w:lang w:val="en-US" w:eastAsia="zh-CN"/>
        </w:rPr>
        <w:t>和“中国采购与招标网”（https://www.chinabidding.com.cn/）</w:t>
      </w:r>
      <w:r>
        <w:rPr>
          <w:rFonts w:hint="eastAsia" w:asciiTheme="minorEastAsia" w:hAnsiTheme="minorEastAsia" w:eastAsiaTheme="minorEastAsia" w:cstheme="minorEastAsia"/>
          <w:color w:val="auto"/>
          <w:sz w:val="24"/>
          <w:szCs w:val="24"/>
          <w:highlight w:val="none"/>
        </w:rPr>
        <w:t>上发布成交结果公告。</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将以书面形式发出《成交通知书》。《成交通知书》一经发出即发生法律效力。</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204" w:name="_Toc106030898"/>
      <w:bookmarkEnd w:id="204"/>
      <w:bookmarkStart w:id="205" w:name="_Toc27425"/>
      <w:bookmarkEnd w:id="205"/>
      <w:bookmarkStart w:id="206" w:name="_Toc76462343"/>
      <w:bookmarkEnd w:id="206"/>
      <w:bookmarkStart w:id="207" w:name="_Toc27612"/>
      <w:bookmarkStart w:id="208" w:name="_Toc4289"/>
      <w:bookmarkStart w:id="209" w:name="_Toc16322"/>
      <w:r>
        <w:rPr>
          <w:rFonts w:hint="eastAsia" w:asciiTheme="minorEastAsia" w:hAnsiTheme="minorEastAsia" w:eastAsiaTheme="minorEastAsia" w:cstheme="minorEastAsia"/>
          <w:color w:val="auto"/>
          <w:sz w:val="24"/>
          <w:highlight w:val="none"/>
        </w:rPr>
        <w:t>六、关于</w:t>
      </w:r>
      <w:bookmarkEnd w:id="207"/>
      <w:bookmarkEnd w:id="208"/>
      <w:bookmarkEnd w:id="209"/>
      <w:r>
        <w:rPr>
          <w:rFonts w:hint="eastAsia" w:asciiTheme="minorEastAsia" w:hAnsiTheme="minorEastAsia" w:eastAsiaTheme="minorEastAsia" w:cstheme="minorEastAsia"/>
          <w:color w:val="auto"/>
          <w:sz w:val="24"/>
          <w:highlight w:val="none"/>
          <w:lang w:val="en-US" w:eastAsia="zh-CN"/>
        </w:rPr>
        <w:t>质疑</w:t>
      </w:r>
    </w:p>
    <w:p>
      <w:pPr>
        <w:shd w:val="clear"/>
        <w:spacing w:line="400" w:lineRule="exact"/>
        <w:ind w:firstLine="360" w:firstLineChars="15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（一）质疑</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供应商认为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过程和成交结果使自己的权益收到伤害的，可向</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人或</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代理机构以书面形式提出质疑。</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 xml:space="preserve">提出质疑的应当是参与所质疑项目采购活动的供应商。 </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1.质疑时限、内容</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1.1供应商认为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过程、成交结果使自己的权益受到损害的，可以在知道或者应知其权益受到损害之日起</w:t>
      </w:r>
      <w:r>
        <w:rPr>
          <w:rFonts w:hint="eastAsia" w:ascii="宋体" w:hAnsi="宋体" w:eastAsia="宋体" w:cs="宋体"/>
          <w:b/>
          <w:bCs/>
          <w:sz w:val="24"/>
          <w:highlight w:val="none"/>
          <w:lang w:eastAsia="zh-CN"/>
        </w:rPr>
        <w:t>2</w:t>
      </w:r>
      <w:r>
        <w:rPr>
          <w:rFonts w:hint="eastAsia" w:ascii="宋体" w:hAnsi="宋体" w:eastAsia="宋体" w:cs="宋体"/>
          <w:sz w:val="24"/>
          <w:highlight w:val="none"/>
        </w:rPr>
        <w:t>个工作日内，以书面形式向</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代理机构提出质疑。</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1.2供应商提出质疑应当提交质疑函和必要的证明材料，质疑函应当包括下列内容：</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1.2.1供应商的姓名或者名称、地址、邮编、联系人及联系电话；</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1.2.2</w:t>
      </w:r>
      <w:r>
        <w:rPr>
          <w:rFonts w:hint="eastAsia" w:ascii="宋体" w:hAnsi="宋体" w:eastAsia="宋体" w:cs="宋体"/>
          <w:sz w:val="24"/>
          <w:szCs w:val="24"/>
          <w:highlight w:val="none"/>
        </w:rPr>
        <w:t>质疑项目的项目名称、</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以及采购执行编号</w:t>
      </w:r>
      <w:r>
        <w:rPr>
          <w:rFonts w:hint="eastAsia" w:ascii="宋体" w:hAnsi="宋体" w:eastAsia="宋体" w:cs="宋体"/>
          <w:sz w:val="24"/>
          <w:highlight w:val="none"/>
        </w:rPr>
        <w:t>；</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1.2.3具体、明确的质疑事项和与质疑事项相关的请求；</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1.2.4事实依据；</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1.2.5必要的法律依据；</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1.2.6提出质疑的日期；</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1.2.7营业执照（或事业单位法人证书，或个体工商户营业执照或有效的自然人身份证明）复印件；</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1.2.8法定代表人授权委托书原件、法定代表人身份证复印件和其授权代表的身份证复印件（供应商为自然人的提供自然人身份证复印件）；</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1.3供应商为自然人的，质疑函应当由本人签字；供应商为法人或者其他组织的，质疑函应当由法定代表人、主要负责人，或者其授权代表签字或者盖章，并加盖公章。</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2.质疑答复</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人、</w:t>
      </w:r>
      <w:r>
        <w:rPr>
          <w:rFonts w:hint="eastAsia" w:ascii="宋体" w:hAnsi="宋体" w:eastAsia="宋体" w:cs="宋体"/>
          <w:sz w:val="24"/>
          <w:highlight w:val="none"/>
          <w:lang w:val="en-US" w:eastAsia="zh-CN"/>
        </w:rPr>
        <w:t>比选</w:t>
      </w:r>
      <w:r>
        <w:rPr>
          <w:rFonts w:hint="eastAsia" w:ascii="宋体" w:hAnsi="宋体" w:eastAsia="宋体" w:cs="宋体"/>
          <w:sz w:val="24"/>
          <w:highlight w:val="none"/>
        </w:rPr>
        <w:t>代理机构应当在收到供应商的书面质疑后七个工作日内作出答复，并以书面形式通知质疑供应商和其他有关供应商。</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3.其他</w:t>
      </w:r>
    </w:p>
    <w:p>
      <w:pPr>
        <w:shd w:val="clear"/>
        <w:spacing w:line="400" w:lineRule="exact"/>
        <w:ind w:right="12" w:firstLine="480"/>
        <w:rPr>
          <w:rFonts w:hint="eastAsia" w:ascii="宋体" w:hAnsi="宋体" w:eastAsia="宋体" w:cs="宋体"/>
          <w:sz w:val="24"/>
          <w:highlight w:val="none"/>
        </w:rPr>
      </w:pPr>
      <w:r>
        <w:rPr>
          <w:rFonts w:hint="eastAsia" w:ascii="宋体" w:hAnsi="宋体" w:eastAsia="宋体" w:cs="宋体"/>
          <w:sz w:val="24"/>
          <w:highlight w:val="none"/>
        </w:rPr>
        <w:t>3.1供应商应按照《政府采购质疑和投诉办法》（财政部令第94号）及相关法律法规要求，在法定质疑期内一次性提出针对同一采购程序环节的质疑。</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highlight w:val="none"/>
        </w:rPr>
        <w:t>3.2质疑函范本可在财政部门户网站和中国政府采购网下载。</w:t>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10" w:name="_Toc813"/>
      <w:bookmarkEnd w:id="210"/>
      <w:bookmarkStart w:id="211" w:name="_Toc106030899"/>
      <w:bookmarkEnd w:id="211"/>
      <w:bookmarkStart w:id="212" w:name="_Toc76462344"/>
      <w:bookmarkEnd w:id="212"/>
      <w:bookmarkStart w:id="213" w:name="_Toc3392"/>
      <w:bookmarkStart w:id="214" w:name="_Toc27468"/>
      <w:bookmarkStart w:id="215" w:name="_Toc16809"/>
      <w:r>
        <w:rPr>
          <w:rFonts w:hint="eastAsia" w:asciiTheme="minorEastAsia" w:hAnsiTheme="minorEastAsia" w:eastAsiaTheme="minorEastAsia" w:cstheme="minorEastAsia"/>
          <w:color w:val="auto"/>
          <w:sz w:val="24"/>
          <w:highlight w:val="none"/>
        </w:rPr>
        <w:t>七、采购代理服务费</w:t>
      </w:r>
      <w:bookmarkEnd w:id="213"/>
      <w:bookmarkEnd w:id="214"/>
      <w:bookmarkEnd w:id="215"/>
    </w:p>
    <w:p>
      <w:pPr>
        <w:shd w:val="clea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一</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rPr>
        <w:t>供应商领取成交通知书前</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向</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缴纳采购代理服务费，采购代理服务费</w:t>
      </w:r>
      <w:r>
        <w:rPr>
          <w:rFonts w:hint="eastAsia" w:asciiTheme="minorEastAsia" w:hAnsiTheme="minorEastAsia" w:eastAsiaTheme="minorEastAsia" w:cstheme="minorEastAsia"/>
          <w:color w:val="auto"/>
          <w:sz w:val="24"/>
          <w:highlight w:val="none"/>
          <w:lang w:val="en-US" w:eastAsia="zh-CN"/>
        </w:rPr>
        <w:t>4500元</w:t>
      </w:r>
      <w:r>
        <w:rPr>
          <w:rFonts w:hint="eastAsia" w:asciiTheme="minorEastAsia" w:hAnsiTheme="minorEastAsia" w:eastAsiaTheme="minorEastAsia" w:cstheme="minorEastAsia"/>
          <w:color w:val="auto"/>
          <w:sz w:val="24"/>
          <w:highlight w:val="none"/>
        </w:rPr>
        <w:t>。</w:t>
      </w:r>
    </w:p>
    <w:p>
      <w:pPr>
        <w:shd w:val="clea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）采购代理服务费缴纳账户信息：</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216" w:name="_Toc106030901"/>
      <w:bookmarkEnd w:id="216"/>
      <w:bookmarkStart w:id="217" w:name="_Toc342913396"/>
      <w:bookmarkEnd w:id="217"/>
      <w:bookmarkStart w:id="218" w:name="_Toc30259"/>
      <w:bookmarkEnd w:id="218"/>
      <w:bookmarkStart w:id="219" w:name="_Toc102227322"/>
      <w:bookmarkEnd w:id="219"/>
      <w:bookmarkStart w:id="220" w:name="_Toc76462346"/>
      <w:bookmarkEnd w:id="220"/>
      <w:bookmarkStart w:id="221" w:name="_Toc27155"/>
      <w:bookmarkStart w:id="222" w:name="_Toc22641"/>
      <w:bookmarkStart w:id="223" w:name="_Toc11641055"/>
      <w:bookmarkStart w:id="224" w:name="_Toc12789059"/>
      <w:r>
        <w:rPr>
          <w:rFonts w:hint="eastAsia" w:asciiTheme="minorEastAsia" w:hAnsiTheme="minorEastAsia" w:eastAsiaTheme="minorEastAsia" w:cstheme="minorEastAsia"/>
          <w:color w:val="auto"/>
          <w:sz w:val="24"/>
          <w:szCs w:val="24"/>
          <w:highlight w:val="none"/>
        </w:rPr>
        <w:t>户  名：华春建设工程项目管理有限责任公司重庆分公司</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开户行：工行刘家台支行</w:t>
      </w:r>
    </w:p>
    <w:p>
      <w:pPr>
        <w:shd w:val="clear"/>
        <w:spacing w:line="400" w:lineRule="exact"/>
        <w:ind w:firstLine="480" w:firstLineChars="200"/>
        <w:rPr>
          <w:rFonts w:hint="eastAsia" w:ascii="宋体" w:hAnsi="宋体" w:eastAsia="宋体" w:cs="宋体"/>
          <w:b/>
          <w:color w:val="auto"/>
          <w:sz w:val="24"/>
          <w:szCs w:val="24"/>
          <w:highlight w:val="none"/>
        </w:rPr>
      </w:pPr>
      <w:r>
        <w:rPr>
          <w:rFonts w:hint="eastAsia" w:asciiTheme="minorEastAsia" w:hAnsiTheme="minorEastAsia" w:eastAsiaTheme="minorEastAsia" w:cstheme="minorEastAsia"/>
          <w:color w:val="auto"/>
          <w:sz w:val="24"/>
          <w:szCs w:val="24"/>
          <w:highlight w:val="none"/>
        </w:rPr>
        <w:t>账  号：3100 2105 0900 0017 004</w:t>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25" w:name="_Toc11813"/>
      <w:r>
        <w:rPr>
          <w:rFonts w:hint="eastAsia" w:asciiTheme="minorEastAsia" w:hAnsiTheme="minorEastAsia" w:eastAsiaTheme="minorEastAsia" w:cstheme="minorEastAsia"/>
          <w:color w:val="auto"/>
          <w:sz w:val="24"/>
          <w:highlight w:val="none"/>
        </w:rPr>
        <w:t>八、签订合同</w:t>
      </w:r>
      <w:bookmarkEnd w:id="221"/>
      <w:bookmarkEnd w:id="222"/>
      <w:bookmarkEnd w:id="225"/>
    </w:p>
    <w:p>
      <w:pPr>
        <w:shd w:val="clea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lang w:eastAsia="zh-CN"/>
        </w:rPr>
        <w:t>比选人</w:t>
      </w:r>
      <w:r>
        <w:rPr>
          <w:rFonts w:hint="eastAsia" w:asciiTheme="minorEastAsia" w:hAnsiTheme="minorEastAsia" w:eastAsiaTheme="minorEastAsia" w:cstheme="minorEastAsia"/>
          <w:color w:val="auto"/>
          <w:sz w:val="24"/>
          <w:highlight w:val="none"/>
        </w:rPr>
        <w:t>原则上应在成交通知书发出之日起二十日内和</w:t>
      </w:r>
      <w:r>
        <w:rPr>
          <w:rFonts w:hint="eastAsia" w:asciiTheme="minorEastAsia" w:hAnsiTheme="minorEastAsia" w:eastAsiaTheme="minorEastAsia" w:cstheme="minorEastAsia"/>
          <w:color w:val="auto"/>
          <w:sz w:val="24"/>
          <w:highlight w:val="none"/>
          <w:lang w:eastAsia="zh-CN"/>
        </w:rPr>
        <w:t>成交供应商</w:t>
      </w:r>
      <w:r>
        <w:rPr>
          <w:rFonts w:hint="eastAsia" w:asciiTheme="minorEastAsia" w:hAnsiTheme="minorEastAsia" w:eastAsiaTheme="minorEastAsia" w:cstheme="minorEastAsia"/>
          <w:color w:val="auto"/>
          <w:sz w:val="24"/>
          <w:highlight w:val="none"/>
        </w:rPr>
        <w:t>签订采购合同，无正当理由不得拒绝或拖延合同签订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。所签订的合同不得对竞争性比选文件和供应商的响应文件作实质性修改。其他未尽事宜由</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在采购合同中详细约定。</w:t>
      </w:r>
    </w:p>
    <w:p>
      <w:pPr>
        <w:shd w:val="clea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（二）竞争性比选文件、供应商的响应文件及澄清文件等，均为签订采购合同的依据。</w:t>
      </w:r>
    </w:p>
    <w:p>
      <w:pPr>
        <w:shd w:val="clea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pPr>
        <w:shd w:val="clea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提供履约保证金的，应当在竞争性比选文件中予以约定。</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履约完毕后，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根据采购文件规定无息退还其履约保证金。</w:t>
      </w:r>
      <w:bookmarkStart w:id="226" w:name="_Toc106030902"/>
      <w:bookmarkEnd w:id="226"/>
      <w:bookmarkStart w:id="227" w:name="_Toc16198"/>
      <w:bookmarkEnd w:id="227"/>
    </w:p>
    <w:p>
      <w:pPr>
        <w:shd w:val="clear"/>
        <w:rPr>
          <w:rFonts w:hint="eastAsia" w:asciiTheme="minorEastAsia" w:hAnsiTheme="minorEastAsia" w:eastAsiaTheme="minorEastAsia" w:cstheme="minorEastAsia"/>
          <w:color w:val="auto"/>
          <w:sz w:val="24"/>
          <w:szCs w:val="24"/>
          <w:highlight w:val="none"/>
        </w:rPr>
      </w:pPr>
    </w:p>
    <w:p>
      <w:pPr>
        <w:pStyle w:val="4"/>
        <w:pageBreakBefore/>
        <w:shd w:val="clear"/>
        <w:spacing w:before="0" w:after="0" w:line="360" w:lineRule="auto"/>
        <w:jc w:val="center"/>
        <w:rPr>
          <w:rFonts w:hint="eastAsia" w:asciiTheme="minorEastAsia" w:hAnsiTheme="minorEastAsia" w:eastAsiaTheme="minorEastAsia" w:cstheme="minorEastAsia"/>
          <w:color w:val="auto"/>
          <w:sz w:val="36"/>
          <w:szCs w:val="30"/>
          <w:highlight w:val="none"/>
          <w:lang w:val="en-US" w:eastAsia="zh-CN"/>
        </w:rPr>
      </w:pPr>
      <w:bookmarkStart w:id="228" w:name="_Toc5582"/>
      <w:r>
        <w:rPr>
          <w:rFonts w:hint="eastAsia" w:asciiTheme="minorEastAsia" w:hAnsiTheme="minorEastAsia" w:eastAsiaTheme="minorEastAsia" w:cstheme="minorEastAsia"/>
          <w:color w:val="auto"/>
          <w:sz w:val="36"/>
          <w:szCs w:val="30"/>
          <w:highlight w:val="none"/>
          <w:lang w:val="en-US" w:eastAsia="zh-CN"/>
        </w:rPr>
        <w:t xml:space="preserve">第六篇 </w:t>
      </w:r>
      <w:bookmarkEnd w:id="228"/>
      <w:bookmarkStart w:id="229" w:name="_Toc440794668"/>
      <w:bookmarkStart w:id="230" w:name="_Toc14081"/>
      <w:bookmarkStart w:id="231" w:name="_Toc461641182"/>
      <w:bookmarkStart w:id="232" w:name="_Toc436925127"/>
      <w:r>
        <w:rPr>
          <w:rFonts w:hint="eastAsia" w:asciiTheme="minorEastAsia" w:hAnsiTheme="minorEastAsia" w:eastAsiaTheme="minorEastAsia" w:cstheme="minorEastAsia"/>
          <w:color w:val="auto"/>
          <w:sz w:val="36"/>
          <w:szCs w:val="30"/>
          <w:highlight w:val="none"/>
          <w:lang w:val="en-US" w:eastAsia="zh-CN"/>
        </w:rPr>
        <w:t>采购合同（参考）</w:t>
      </w:r>
    </w:p>
    <w:p>
      <w:pPr>
        <w:shd w:val="clea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采购合同</w:t>
      </w:r>
    </w:p>
    <w:p>
      <w:pPr>
        <w:shd w:val="clear"/>
        <w:spacing w:line="500" w:lineRule="exact"/>
        <w:jc w:val="center"/>
        <w:rPr>
          <w:rFonts w:hint="eastAsia" w:ascii="宋体" w:hAnsi="宋体" w:cs="宋体"/>
          <w:color w:val="auto"/>
          <w:highlight w:val="none"/>
        </w:rPr>
      </w:pPr>
      <w:r>
        <w:rPr>
          <w:rFonts w:hint="eastAsia" w:ascii="宋体" w:hAnsi="宋体" w:cs="宋体"/>
          <w:color w:val="auto"/>
          <w:highlight w:val="none"/>
        </w:rPr>
        <w:t>（项目</w:t>
      </w:r>
      <w:r>
        <w:rPr>
          <w:rFonts w:hint="eastAsia" w:ascii="宋体" w:hAnsi="宋体" w:cs="宋体"/>
          <w:color w:val="auto"/>
          <w:highlight w:val="none"/>
          <w:lang w:val="en-US" w:eastAsia="zh-CN"/>
        </w:rPr>
        <w:t>编</w:t>
      </w:r>
      <w:r>
        <w:rPr>
          <w:rFonts w:hint="eastAsia" w:ascii="宋体" w:hAnsi="宋体" w:cs="宋体"/>
          <w:color w:val="auto"/>
          <w:highlight w:val="none"/>
        </w:rPr>
        <w:t>号：     ）</w:t>
      </w:r>
    </w:p>
    <w:p>
      <w:pPr>
        <w:shd w:val="clea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甲方（需方）：___________________________     </w:t>
      </w:r>
    </w:p>
    <w:p>
      <w:pPr>
        <w:shd w:val="clea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乙方（供方）：___________________________    </w:t>
      </w:r>
    </w:p>
    <w:p>
      <w:pPr>
        <w:shd w:val="clear"/>
        <w:spacing w:line="500" w:lineRule="exact"/>
        <w:rPr>
          <w:rFonts w:hint="eastAsia" w:ascii="宋体" w:hAnsi="宋体" w:cs="宋体"/>
          <w:color w:val="auto"/>
          <w:sz w:val="24"/>
          <w:highlight w:val="none"/>
        </w:rPr>
      </w:pPr>
    </w:p>
    <w:p>
      <w:pPr>
        <w:shd w:val="clear"/>
        <w:spacing w:line="500" w:lineRule="exact"/>
        <w:rPr>
          <w:rFonts w:hint="eastAsia" w:ascii="宋体" w:hAnsi="宋体" w:cs="宋体"/>
          <w:color w:val="auto"/>
          <w:sz w:val="24"/>
          <w:highlight w:val="none"/>
        </w:rPr>
      </w:pPr>
      <w:r>
        <w:rPr>
          <w:rFonts w:hint="eastAsia" w:ascii="宋体" w:hAnsi="宋体" w:cs="宋体"/>
          <w:color w:val="auto"/>
          <w:sz w:val="24"/>
          <w:highlight w:val="none"/>
        </w:rPr>
        <w:t>经双方协商一致，达成以下合同：</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573"/>
        <w:gridCol w:w="1843"/>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hd w:val="clea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比选</w:t>
            </w:r>
            <w:r>
              <w:rPr>
                <w:rFonts w:hint="eastAsia" w:ascii="宋体" w:hAnsi="宋体" w:cs="宋体"/>
                <w:color w:val="auto"/>
                <w:sz w:val="21"/>
                <w:szCs w:val="21"/>
                <w:highlight w:val="none"/>
              </w:rPr>
              <w:t>项目名称</w:t>
            </w:r>
          </w:p>
        </w:tc>
        <w:tc>
          <w:tcPr>
            <w:tcW w:w="3416" w:type="dxa"/>
            <w:gridSpan w:val="2"/>
            <w:vAlign w:val="center"/>
          </w:tcPr>
          <w:p>
            <w:pPr>
              <w:shd w:val="clea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租金（元/年）</w:t>
            </w:r>
          </w:p>
        </w:tc>
        <w:tc>
          <w:tcPr>
            <w:tcW w:w="1559" w:type="dxa"/>
            <w:vAlign w:val="center"/>
          </w:tcPr>
          <w:p>
            <w:pPr>
              <w:shd w:val="clea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1567" w:type="dxa"/>
            <w:vAlign w:val="center"/>
          </w:tcPr>
          <w:p>
            <w:pPr>
              <w:shd w:val="clea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pPr>
              <w:shd w:val="clear"/>
              <w:spacing w:line="240" w:lineRule="atLeast"/>
              <w:jc w:val="center"/>
              <w:rPr>
                <w:rFonts w:hint="eastAsia" w:ascii="宋体" w:hAnsi="宋体" w:cs="宋体"/>
                <w:color w:val="auto"/>
                <w:sz w:val="21"/>
                <w:szCs w:val="21"/>
                <w:highlight w:val="none"/>
              </w:rPr>
            </w:pPr>
          </w:p>
        </w:tc>
        <w:tc>
          <w:tcPr>
            <w:tcW w:w="3416" w:type="dxa"/>
            <w:gridSpan w:val="2"/>
            <w:vAlign w:val="center"/>
          </w:tcPr>
          <w:p>
            <w:pPr>
              <w:shd w:val="clear"/>
              <w:spacing w:line="240" w:lineRule="atLeast"/>
              <w:jc w:val="center"/>
              <w:rPr>
                <w:rFonts w:hint="eastAsia" w:ascii="宋体" w:hAnsi="宋体" w:cs="宋体"/>
                <w:color w:val="auto"/>
                <w:sz w:val="21"/>
                <w:szCs w:val="21"/>
                <w:highlight w:val="none"/>
              </w:rPr>
            </w:pPr>
          </w:p>
        </w:tc>
        <w:tc>
          <w:tcPr>
            <w:tcW w:w="1559" w:type="dxa"/>
            <w:vAlign w:val="center"/>
          </w:tcPr>
          <w:p>
            <w:pPr>
              <w:shd w:val="clear"/>
              <w:spacing w:line="240" w:lineRule="atLeast"/>
              <w:jc w:val="center"/>
              <w:rPr>
                <w:rFonts w:hint="eastAsia" w:ascii="宋体" w:hAnsi="宋体" w:cs="宋体"/>
                <w:color w:val="auto"/>
                <w:sz w:val="21"/>
                <w:szCs w:val="21"/>
                <w:highlight w:val="none"/>
              </w:rPr>
            </w:pPr>
          </w:p>
        </w:tc>
        <w:tc>
          <w:tcPr>
            <w:tcW w:w="1567" w:type="dxa"/>
            <w:vAlign w:val="center"/>
          </w:tcPr>
          <w:p>
            <w:pPr>
              <w:shd w:val="clear"/>
              <w:spacing w:line="240" w:lineRule="atLeast"/>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5"/>
            <w:vAlign w:val="center"/>
          </w:tcPr>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5"/>
            <w:vAlign w:val="center"/>
          </w:tcPr>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5"/>
          </w:tcPr>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6"/>
          </w:tcPr>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二、</w:t>
            </w:r>
            <w:r>
              <w:rPr>
                <w:rFonts w:hint="eastAsia" w:ascii="宋体" w:hAnsi="宋体" w:cs="宋体"/>
                <w:color w:val="auto"/>
                <w:sz w:val="21"/>
                <w:szCs w:val="21"/>
                <w:highlight w:val="none"/>
                <w:lang w:val="en-US" w:eastAsia="zh-CN"/>
              </w:rPr>
              <w:t>验收</w:t>
            </w:r>
            <w:r>
              <w:rPr>
                <w:rFonts w:hint="eastAsia" w:ascii="宋体" w:hAnsi="宋体" w:cs="宋体"/>
                <w:color w:val="auto"/>
                <w:sz w:val="21"/>
                <w:szCs w:val="21"/>
                <w:highlight w:val="none"/>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6"/>
          </w:tcPr>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三、付款方式：</w:t>
            </w:r>
          </w:p>
          <w:p>
            <w:pPr>
              <w:pStyle w:val="32"/>
              <w:shd w:val="clear"/>
              <w:spacing w:line="240" w:lineRule="atLeas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628" w:type="dxa"/>
            <w:gridSpan w:val="6"/>
          </w:tcPr>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四、违约责任：</w:t>
            </w:r>
          </w:p>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按《中华人民共和国民法典》、《政府采购法》执行，或按双方约定。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628" w:type="dxa"/>
            <w:gridSpan w:val="6"/>
          </w:tcPr>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五、其他约定事项：</w:t>
            </w:r>
          </w:p>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1.采购文件及其补遗文件、响应文件和承诺是本合同不可分割的部分。</w:t>
            </w:r>
          </w:p>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2.本合同如发生争议由双方协商解决，协商不成向需方所在人民法院提请诉讼。</w:t>
            </w:r>
          </w:p>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需方__份，供方__份，具同等法律效力。</w:t>
            </w:r>
          </w:p>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2"/>
          </w:tcPr>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需方：</w:t>
            </w:r>
          </w:p>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p>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4984" w:type="dxa"/>
            <w:gridSpan w:val="4"/>
          </w:tcPr>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供方：</w:t>
            </w:r>
          </w:p>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p>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p>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账号：</w:t>
            </w:r>
          </w:p>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p>
            <w:pPr>
              <w:widowControl/>
              <w:shd w:val="clear"/>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6"/>
          </w:tcPr>
          <w:p>
            <w:pPr>
              <w:shd w:val="clea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pPr>
              <w:shd w:val="clear"/>
              <w:spacing w:line="240" w:lineRule="atLeast"/>
              <w:rPr>
                <w:rFonts w:hint="eastAsia" w:ascii="宋体" w:hAnsi="宋体" w:cs="宋体"/>
                <w:color w:val="auto"/>
                <w:sz w:val="21"/>
                <w:szCs w:val="21"/>
                <w:highlight w:val="none"/>
              </w:rPr>
            </w:pPr>
          </w:p>
          <w:p>
            <w:pPr>
              <w:shd w:val="clear"/>
              <w:spacing w:line="240" w:lineRule="atLeast"/>
              <w:rPr>
                <w:rFonts w:hint="eastAsia" w:ascii="宋体" w:hAnsi="宋体" w:cs="宋体"/>
                <w:color w:val="auto"/>
                <w:sz w:val="21"/>
                <w:szCs w:val="21"/>
                <w:highlight w:val="none"/>
              </w:rPr>
            </w:pPr>
          </w:p>
        </w:tc>
      </w:tr>
    </w:tbl>
    <w:p>
      <w:pPr>
        <w:shd w:val="clear"/>
        <w:rPr>
          <w:rFonts w:hint="eastAsia" w:ascii="宋体" w:hAnsi="宋体" w:cs="宋体"/>
          <w:color w:val="auto"/>
          <w:sz w:val="24"/>
          <w:highlight w:val="none"/>
        </w:rPr>
      </w:pPr>
      <w:r>
        <w:rPr>
          <w:rFonts w:hint="eastAsia" w:ascii="宋体" w:hAnsi="宋体" w:cs="宋体"/>
          <w:color w:val="auto"/>
          <w:sz w:val="24"/>
          <w:highlight w:val="none"/>
        </w:rPr>
        <w:t>签约时间：           年   月   日      签约地点：</w:t>
      </w:r>
    </w:p>
    <w:p>
      <w:pPr>
        <w:widowControl/>
        <w:shd w:val="clear"/>
        <w:kinsoku/>
        <w:wordWrap/>
        <w:overflowPunct/>
        <w:topLinePunct w:val="0"/>
        <w:autoSpaceDE/>
        <w:autoSpaceDN/>
        <w:bidi w:val="0"/>
        <w:spacing w:line="360" w:lineRule="auto"/>
        <w:jc w:val="left"/>
        <w:textAlignment w:val="auto"/>
        <w:rPr>
          <w:rFonts w:hint="eastAsia" w:ascii="宋体" w:hAnsi="宋体" w:eastAsia="宋体" w:cs="宋体"/>
          <w:b/>
          <w:bCs/>
          <w:color w:val="auto"/>
          <w:sz w:val="22"/>
          <w:szCs w:val="22"/>
          <w:highlight w:val="none"/>
        </w:rPr>
      </w:pPr>
    </w:p>
    <w:bookmarkEnd w:id="229"/>
    <w:bookmarkEnd w:id="230"/>
    <w:bookmarkEnd w:id="231"/>
    <w:bookmarkEnd w:id="232"/>
    <w:p>
      <w:pPr>
        <w:pStyle w:val="4"/>
        <w:shd w:val="clear"/>
        <w:spacing w:before="0" w:after="0" w:line="360" w:lineRule="auto"/>
        <w:jc w:val="center"/>
        <w:rPr>
          <w:rFonts w:hint="eastAsia" w:asciiTheme="minorEastAsia" w:hAnsiTheme="minorEastAsia" w:eastAsiaTheme="minorEastAsia" w:cstheme="minorEastAsia"/>
          <w:color w:val="auto"/>
          <w:sz w:val="36"/>
          <w:szCs w:val="36"/>
          <w:highlight w:val="none"/>
        </w:rPr>
      </w:pPr>
      <w:bookmarkStart w:id="233" w:name="_Toc11026"/>
      <w:bookmarkStart w:id="234" w:name="_Toc14944"/>
      <w:bookmarkStart w:id="235" w:name="_Toc13094"/>
    </w:p>
    <w:p>
      <w:pPr>
        <w:pStyle w:val="4"/>
        <w:shd w:val="clear"/>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6"/>
          <w:highlight w:val="none"/>
        </w:rPr>
        <w:t>第</w:t>
      </w:r>
      <w:r>
        <w:rPr>
          <w:rFonts w:hint="eastAsia" w:asciiTheme="minorEastAsia" w:hAnsiTheme="minorEastAsia" w:eastAsiaTheme="minorEastAsia" w:cstheme="minorEastAsia"/>
          <w:color w:val="auto"/>
          <w:sz w:val="36"/>
          <w:szCs w:val="36"/>
          <w:highlight w:val="none"/>
          <w:lang w:val="en-US" w:eastAsia="zh-CN"/>
        </w:rPr>
        <w:t>七</w:t>
      </w:r>
      <w:r>
        <w:rPr>
          <w:rFonts w:hint="eastAsia" w:asciiTheme="minorEastAsia" w:hAnsiTheme="minorEastAsia" w:eastAsiaTheme="minorEastAsia" w:cstheme="minorEastAsia"/>
          <w:color w:val="auto"/>
          <w:sz w:val="36"/>
          <w:szCs w:val="36"/>
          <w:highlight w:val="none"/>
        </w:rPr>
        <w:t xml:space="preserve">篇  </w:t>
      </w:r>
      <w:bookmarkEnd w:id="223"/>
      <w:bookmarkEnd w:id="224"/>
      <w:bookmarkEnd w:id="233"/>
      <w:bookmarkStart w:id="236" w:name="_Toc26889"/>
      <w:r>
        <w:rPr>
          <w:rFonts w:hint="eastAsia" w:asciiTheme="minorEastAsia" w:hAnsiTheme="minorEastAsia" w:eastAsiaTheme="minorEastAsia" w:cstheme="minorEastAsia"/>
          <w:bCs/>
          <w:color w:val="auto"/>
          <w:sz w:val="36"/>
          <w:szCs w:val="30"/>
          <w:highlight w:val="none"/>
        </w:rPr>
        <w:t>响应文件编制要求</w:t>
      </w:r>
      <w:bookmarkEnd w:id="234"/>
      <w:bookmarkEnd w:id="235"/>
      <w:bookmarkEnd w:id="236"/>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一、经济部分</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（一）竞争性比选报价函（格式）</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二、服务部分</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（一）服务方案自行编制</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（二）服务条款响应</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宋体" w:hAnsi="宋体" w:eastAsia="宋体" w:cs="宋体"/>
          <w:color w:val="auto"/>
          <w:sz w:val="24"/>
          <w:szCs w:val="24"/>
          <w:highlight w:val="none"/>
        </w:rPr>
        <w:t>其他技术资料</w:t>
      </w:r>
      <w:r>
        <w:rPr>
          <w:rFonts w:hint="eastAsia" w:ascii="宋体" w:hAnsi="宋体" w:eastAsia="宋体" w:cs="宋体"/>
          <w:color w:val="auto"/>
          <w:sz w:val="24"/>
          <w:szCs w:val="28"/>
          <w:highlight w:val="none"/>
          <w:lang w:eastAsia="zh-CN"/>
        </w:rPr>
        <w:t>（格式自拟）</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三、商务部分</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（二）其它商务评审资料或承诺（自附）</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四、资格条件</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五、其他资料</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w:t>
      </w: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highlight w:val="none"/>
        </w:rPr>
      </w:pPr>
    </w:p>
    <w:p>
      <w:pPr>
        <w:shd w:val="clear"/>
        <w:rPr>
          <w:rFonts w:hint="eastAsia" w:asciiTheme="minorEastAsia" w:hAnsiTheme="minorEastAsia" w:eastAsiaTheme="minorEastAsia" w:cstheme="minorEastAsia"/>
          <w:color w:val="auto"/>
          <w:sz w:val="24"/>
          <w:highlight w:val="none"/>
        </w:rPr>
      </w:pPr>
      <w:bookmarkStart w:id="237" w:name="_Toc313888360"/>
      <w:bookmarkEnd w:id="237"/>
      <w:bookmarkStart w:id="238" w:name="_Toc313008356"/>
      <w:bookmarkEnd w:id="238"/>
      <w:bookmarkStart w:id="239" w:name="_Toc76462350"/>
      <w:bookmarkEnd w:id="239"/>
      <w:bookmarkStart w:id="240" w:name="_Toc11543"/>
      <w:bookmarkEnd w:id="240"/>
      <w:bookmarkStart w:id="241" w:name="_Toc342913419"/>
      <w:bookmarkEnd w:id="241"/>
      <w:bookmarkStart w:id="242" w:name="_Toc106030906"/>
      <w:bookmarkEnd w:id="242"/>
      <w:bookmarkStart w:id="243" w:name="_Toc15372"/>
      <w:bookmarkStart w:id="244" w:name="_Toc22083"/>
      <w:r>
        <w:rPr>
          <w:rFonts w:hint="eastAsia" w:asciiTheme="minorEastAsia" w:hAnsiTheme="minorEastAsia" w:eastAsiaTheme="minorEastAsia" w:cstheme="minorEastAsia"/>
          <w:color w:val="auto"/>
          <w:sz w:val="24"/>
          <w:highlight w:val="none"/>
        </w:rPr>
        <w:br w:type="page"/>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45" w:name="_Toc28503"/>
      <w:r>
        <w:rPr>
          <w:rFonts w:hint="eastAsia" w:asciiTheme="minorEastAsia" w:hAnsiTheme="minorEastAsia" w:eastAsiaTheme="minorEastAsia" w:cstheme="minorEastAsia"/>
          <w:color w:val="auto"/>
          <w:sz w:val="24"/>
          <w:highlight w:val="none"/>
        </w:rPr>
        <w:t>一、经济部分</w:t>
      </w:r>
      <w:bookmarkEnd w:id="243"/>
      <w:bookmarkEnd w:id="244"/>
      <w:bookmarkEnd w:id="245"/>
    </w:p>
    <w:p>
      <w:pPr>
        <w:shd w:val="clear"/>
        <w:jc w:val="center"/>
        <w:rPr>
          <w:rFonts w:hint="eastAsia" w:asciiTheme="minorEastAsia" w:hAnsiTheme="minorEastAsia" w:eastAsiaTheme="minorEastAsia" w:cstheme="minorEastAsia"/>
          <w:b/>
          <w:color w:val="auto"/>
          <w:szCs w:val="28"/>
          <w:highlight w:val="none"/>
        </w:rPr>
      </w:pPr>
    </w:p>
    <w:p>
      <w:pPr>
        <w:shd w:val="clea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（一）竞争性比选报价函（格式）</w:t>
      </w:r>
    </w:p>
    <w:p>
      <w:pPr>
        <w:shd w:val="clea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比选代理机构</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w:t>
      </w:r>
    </w:p>
    <w:p>
      <w:pPr>
        <w:shd w:val="clea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我方收到____________________________（项目名称）的竞争性比选文件，经详细研究，决定参加该项目的比选。</w:t>
      </w:r>
    </w:p>
    <w:p>
      <w:pPr>
        <w:shd w:val="clea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1.愿意按照竞争性比选文件中的一切要求，提供本项目</w:t>
      </w:r>
      <w:r>
        <w:rPr>
          <w:rFonts w:hint="eastAsia" w:asciiTheme="minorEastAsia" w:hAnsiTheme="minorEastAsia" w:eastAsiaTheme="minorEastAsia" w:cstheme="minorEastAsia"/>
          <w:color w:val="auto"/>
          <w:sz w:val="24"/>
          <w:szCs w:val="24"/>
          <w:highlight w:val="none"/>
          <w:lang w:val="en-US" w:eastAsia="zh-CN"/>
        </w:rPr>
        <w:t>所要求的</w:t>
      </w:r>
      <w:r>
        <w:rPr>
          <w:rFonts w:hint="eastAsia" w:asciiTheme="minorEastAsia" w:hAnsiTheme="minorEastAsia" w:eastAsiaTheme="minorEastAsia" w:cstheme="minorEastAsia"/>
          <w:color w:val="auto"/>
          <w:sz w:val="24"/>
          <w:szCs w:val="24"/>
          <w:highlight w:val="none"/>
        </w:rPr>
        <w:t>服务，比选</w:t>
      </w:r>
      <w:r>
        <w:rPr>
          <w:rFonts w:hint="eastAsia" w:asciiTheme="minorEastAsia" w:hAnsiTheme="minorEastAsia" w:eastAsiaTheme="minorEastAsia" w:cstheme="minorEastAsia"/>
          <w:b w:val="0"/>
          <w:bCs w:val="0"/>
          <w:color w:val="auto"/>
          <w:sz w:val="24"/>
          <w:szCs w:val="24"/>
          <w:highlight w:val="none"/>
        </w:rPr>
        <w:t>报价</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比选人分成比例</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%/年 </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每年百分之</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）。我方比选报价为闭口价。即在比选有效期和合同有效期内，该报价固定不变。</w:t>
      </w:r>
    </w:p>
    <w:p>
      <w:pPr>
        <w:shd w:val="clea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电子文档</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份</w:t>
      </w:r>
      <w:r>
        <w:rPr>
          <w:rFonts w:hint="eastAsia" w:asciiTheme="minorEastAsia" w:hAnsiTheme="minorEastAsia" w:eastAsiaTheme="minorEastAsia" w:cstheme="minorEastAsia"/>
          <w:color w:val="auto"/>
          <w:sz w:val="24"/>
          <w:szCs w:val="24"/>
          <w:highlight w:val="none"/>
        </w:rPr>
        <w:t>。</w:t>
      </w:r>
    </w:p>
    <w:p>
      <w:pPr>
        <w:shd w:val="clea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的有效期为提交响应文件截止时间起90天。</w:t>
      </w:r>
    </w:p>
    <w:p>
      <w:pPr>
        <w:shd w:val="clea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pPr>
        <w:shd w:val="clea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5.在整个竞争性比选过程中，我方若有违规行为，接受按照《中华人民共和国政府采购法》和本项目《竞争性比选文件》之规定给予惩罚。</w:t>
      </w:r>
    </w:p>
    <w:p>
      <w:pPr>
        <w:shd w:val="clea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，将按照成交结果签订合同，并且严格履行合同义务。本承诺函将成为合同不可分割的一部分，与合同具有同等的法律效力。</w:t>
      </w:r>
    </w:p>
    <w:p>
      <w:pPr>
        <w:shd w:val="clea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，保证在接到成交通知书后，向</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竞争性比选文件规定的采购代理服务费。</w:t>
      </w:r>
    </w:p>
    <w:p>
      <w:pPr>
        <w:shd w:val="clea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pPr>
        <w:shd w:val="clea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pPr>
        <w:shd w:val="clea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pPr>
        <w:shd w:val="clea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pPr>
        <w:shd w:val="clea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shd w:val="clea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pStyle w:val="2"/>
        <w:shd w:val="clear"/>
        <w:rPr>
          <w:rFonts w:hint="eastAsia" w:asciiTheme="minorEastAsia" w:hAnsiTheme="minorEastAsia" w:eastAsiaTheme="minorEastAsia" w:cstheme="minorEastAsia"/>
          <w:color w:val="auto"/>
          <w:sz w:val="24"/>
          <w:szCs w:val="24"/>
          <w:highlight w:val="none"/>
        </w:rPr>
      </w:pPr>
    </w:p>
    <w:p>
      <w:pPr>
        <w:pStyle w:val="82"/>
        <w:shd w:val="clear"/>
        <w:rPr>
          <w:rFonts w:hint="eastAsia" w:asciiTheme="minorEastAsia" w:hAnsiTheme="minorEastAsia" w:eastAsiaTheme="minorEastAsia" w:cstheme="minorEastAsia"/>
          <w:color w:val="auto"/>
          <w:szCs w:val="24"/>
          <w:highlight w:val="none"/>
        </w:rPr>
      </w:pPr>
    </w:p>
    <w:p>
      <w:pPr>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46" w:name="_Toc342913420"/>
      <w:bookmarkEnd w:id="246"/>
      <w:bookmarkStart w:id="247" w:name="_Toc313008357"/>
      <w:bookmarkEnd w:id="247"/>
      <w:bookmarkStart w:id="248" w:name="_Toc106030907"/>
      <w:bookmarkEnd w:id="248"/>
      <w:bookmarkStart w:id="249" w:name="_Toc313888361"/>
      <w:bookmarkEnd w:id="249"/>
      <w:bookmarkStart w:id="250" w:name="_Toc76462351"/>
      <w:bookmarkEnd w:id="250"/>
      <w:bookmarkStart w:id="251" w:name="_Toc29766"/>
      <w:bookmarkEnd w:id="251"/>
      <w:bookmarkStart w:id="252" w:name="_Toc12737"/>
      <w:bookmarkStart w:id="253" w:name="_Toc32546"/>
      <w:bookmarkStart w:id="254" w:name="_Toc2697"/>
      <w:r>
        <w:rPr>
          <w:rFonts w:hint="eastAsia" w:asciiTheme="minorEastAsia" w:hAnsiTheme="minorEastAsia" w:eastAsiaTheme="minorEastAsia" w:cstheme="minorEastAsia"/>
          <w:color w:val="auto"/>
          <w:sz w:val="24"/>
          <w:highlight w:val="none"/>
        </w:rPr>
        <w:t>二、服务部分</w:t>
      </w:r>
      <w:bookmarkEnd w:id="252"/>
      <w:bookmarkEnd w:id="253"/>
      <w:bookmarkEnd w:id="254"/>
    </w:p>
    <w:p>
      <w:pPr>
        <w:shd w:val="clea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（一）服务方案自行编制</w:t>
      </w:r>
      <w:bookmarkStart w:id="255" w:name="_Toc313888362"/>
      <w:bookmarkEnd w:id="255"/>
      <w:bookmarkStart w:id="256" w:name="_Toc106030908"/>
      <w:bookmarkEnd w:id="256"/>
      <w:bookmarkStart w:id="257" w:name="_Toc313008358"/>
      <w:bookmarkEnd w:id="257"/>
      <w:bookmarkStart w:id="258" w:name="_Toc76462352"/>
      <w:bookmarkEnd w:id="258"/>
      <w:bookmarkStart w:id="259" w:name="_Toc342913421"/>
      <w:bookmarkEnd w:id="259"/>
      <w:bookmarkStart w:id="260" w:name="_Toc30533"/>
      <w:bookmarkEnd w:id="260"/>
    </w:p>
    <w:p>
      <w:pPr>
        <w:pStyle w:val="4"/>
        <w:shd w:val="clear"/>
        <w:adjustRightInd w:val="0"/>
        <w:snapToGrid w:val="0"/>
        <w:spacing w:before="0" w:after="0" w:line="400" w:lineRule="exact"/>
        <w:ind w:firstLine="640" w:firstLineChars="200"/>
        <w:rPr>
          <w:rFonts w:hint="eastAsia" w:asciiTheme="minorEastAsia" w:hAnsiTheme="minorEastAsia" w:eastAsiaTheme="minorEastAsia" w:cstheme="minorEastAsia"/>
          <w:b w:val="0"/>
          <w:color w:val="auto"/>
          <w:highlight w:val="none"/>
        </w:rPr>
      </w:pPr>
    </w:p>
    <w:p>
      <w:pPr>
        <w:pStyle w:val="4"/>
        <w:shd w:val="clear"/>
        <w:adjustRightInd w:val="0"/>
        <w:snapToGrid w:val="0"/>
        <w:spacing w:before="0" w:after="0" w:line="400" w:lineRule="exact"/>
        <w:ind w:firstLine="640" w:firstLineChars="200"/>
        <w:rPr>
          <w:rFonts w:hint="eastAsia" w:asciiTheme="minorEastAsia" w:hAnsiTheme="minorEastAsia" w:eastAsiaTheme="minorEastAsia" w:cstheme="minorEastAsia"/>
          <w:b w:val="0"/>
          <w:color w:val="auto"/>
          <w:highlight w:val="none"/>
        </w:rPr>
      </w:pPr>
    </w:p>
    <w:p>
      <w:pPr>
        <w:shd w:val="clear"/>
        <w:adjustRightInd w:val="0"/>
        <w:snapToGrid w:val="0"/>
        <w:spacing w:line="400" w:lineRule="exact"/>
        <w:ind w:firstLine="56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（二）服务条款响应</w:t>
      </w:r>
    </w:p>
    <w:p>
      <w:pPr>
        <w:shd w:val="clea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pPr>
        <w:shd w:val="clea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hd w:val="clea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844" w:type="dxa"/>
            <w:noWrap w:val="0"/>
            <w:vAlign w:val="center"/>
          </w:tcPr>
          <w:p>
            <w:pPr>
              <w:shd w:val="clea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采购需求</w:t>
            </w:r>
          </w:p>
        </w:tc>
        <w:tc>
          <w:tcPr>
            <w:tcW w:w="2952" w:type="dxa"/>
            <w:noWrap w:val="0"/>
            <w:vAlign w:val="center"/>
          </w:tcPr>
          <w:p>
            <w:pPr>
              <w:shd w:val="clea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响应情况</w:t>
            </w:r>
          </w:p>
        </w:tc>
        <w:tc>
          <w:tcPr>
            <w:tcW w:w="2212" w:type="dxa"/>
            <w:noWrap w:val="0"/>
            <w:vAlign w:val="center"/>
          </w:tcPr>
          <w:p>
            <w:pPr>
              <w:shd w:val="clea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提醒：具体内容以及具体内容的位置（页码）</w:t>
            </w: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bl>
    <w:p>
      <w:pPr>
        <w:shd w:val="clear"/>
        <w:rPr>
          <w:rFonts w:hint="eastAsia" w:asciiTheme="minorEastAsia" w:hAnsiTheme="minorEastAsia" w:eastAsiaTheme="minorEastAsia" w:cstheme="minorEastAsia"/>
          <w:color w:val="auto"/>
          <w:highlight w:val="none"/>
        </w:rPr>
      </w:pPr>
    </w:p>
    <w:p>
      <w:pPr>
        <w:shd w:val="clea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法定代表人或法定代表人授权代表：</w:t>
      </w:r>
    </w:p>
    <w:p>
      <w:pPr>
        <w:shd w:val="clea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（公章）                                     （签字或盖章）</w:t>
      </w:r>
    </w:p>
    <w:p>
      <w:pPr>
        <w:shd w:val="clea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16"/>
          <w:highlight w:val="none"/>
        </w:rPr>
        <w:t xml:space="preserve"> </w:t>
      </w:r>
      <w:bookmarkStart w:id="261" w:name="_Toc29373"/>
      <w:r>
        <w:rPr>
          <w:rFonts w:hint="eastAsia" w:asciiTheme="minorEastAsia" w:hAnsiTheme="minorEastAsia" w:eastAsiaTheme="minorEastAsia" w:cstheme="minorEastAsia"/>
          <w:bCs/>
          <w:color w:val="auto"/>
          <w:sz w:val="24"/>
          <w:szCs w:val="16"/>
          <w:highlight w:val="none"/>
        </w:rPr>
        <w:t>年     月     日</w:t>
      </w:r>
      <w:bookmarkEnd w:id="261"/>
    </w:p>
    <w:p>
      <w:pPr>
        <w:shd w:val="clear"/>
        <w:tabs>
          <w:tab w:val="left" w:pos="6300"/>
        </w:tabs>
        <w:adjustRightInd w:val="0"/>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pPr>
        <w:shd w:val="clear"/>
        <w:tabs>
          <w:tab w:val="left" w:pos="6300"/>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pPr>
        <w:shd w:val="clear"/>
        <w:tabs>
          <w:tab w:val="left" w:pos="6300"/>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1.本表即为对本项目“第二篇项目服务需求”中所列条款进行比较和响应；</w:t>
      </w:r>
    </w:p>
    <w:p>
      <w:pPr>
        <w:shd w:val="clea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w:t>
      </w: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8"/>
          <w:highlight w:val="none"/>
          <w:lang w:eastAsia="zh-CN"/>
        </w:rPr>
        <w:t>（</w:t>
      </w:r>
      <w:r>
        <w:rPr>
          <w:rFonts w:hint="eastAsia" w:ascii="宋体" w:hAnsi="宋体" w:cs="宋体"/>
          <w:color w:val="auto"/>
          <w:sz w:val="24"/>
          <w:szCs w:val="28"/>
          <w:highlight w:val="none"/>
          <w:lang w:val="en-US" w:eastAsia="zh-CN"/>
        </w:rPr>
        <w:t>如有，</w:t>
      </w:r>
      <w:r>
        <w:rPr>
          <w:rFonts w:hint="eastAsia" w:ascii="宋体" w:hAnsi="宋体" w:eastAsia="宋体" w:cs="宋体"/>
          <w:color w:val="auto"/>
          <w:sz w:val="24"/>
          <w:szCs w:val="28"/>
          <w:highlight w:val="none"/>
          <w:lang w:eastAsia="zh-CN"/>
        </w:rPr>
        <w:t>格式自拟）</w:t>
      </w:r>
    </w:p>
    <w:p>
      <w:pPr>
        <w:pStyle w:val="4"/>
        <w:numPr>
          <w:ilvl w:val="-1"/>
          <w:numId w:val="0"/>
        </w:numPr>
        <w:shd w:val="clear"/>
        <w:adjustRightInd w:val="0"/>
        <w:snapToGrid w:val="0"/>
        <w:spacing w:before="0" w:after="0" w:line="400" w:lineRule="exact"/>
        <w:ind w:firstLine="64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highlight w:val="none"/>
        </w:rPr>
        <w:br w:type="page"/>
      </w:r>
      <w:bookmarkStart w:id="262" w:name="_Toc10532"/>
      <w:bookmarkStart w:id="263" w:name="_Toc25678"/>
      <w:bookmarkStart w:id="264" w:name="_Toc16652"/>
      <w:r>
        <w:rPr>
          <w:rFonts w:hint="eastAsia" w:asciiTheme="minorEastAsia" w:hAnsiTheme="minorEastAsia" w:eastAsiaTheme="minorEastAsia" w:cstheme="minorEastAsia"/>
          <w:color w:val="auto"/>
          <w:sz w:val="24"/>
          <w:highlight w:val="none"/>
        </w:rPr>
        <w:t>三、商务部分</w:t>
      </w:r>
      <w:bookmarkEnd w:id="262"/>
      <w:bookmarkEnd w:id="263"/>
      <w:bookmarkEnd w:id="264"/>
    </w:p>
    <w:p>
      <w:pPr>
        <w:shd w:val="clear"/>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bookmarkStart w:id="265" w:name="_Toc283382459"/>
      <w:r>
        <w:rPr>
          <w:rFonts w:hint="eastAsia" w:asciiTheme="minorEastAsia" w:hAnsiTheme="minorEastAsia" w:eastAsiaTheme="minorEastAsia" w:cstheme="minorEastAsia"/>
          <w:color w:val="auto"/>
          <w:sz w:val="24"/>
          <w:szCs w:val="24"/>
          <w:highlight w:val="none"/>
        </w:rPr>
        <w:t>（一）商务条款响应</w:t>
      </w:r>
    </w:p>
    <w:p>
      <w:pPr>
        <w:shd w:val="clear"/>
        <w:spacing w:line="500" w:lineRule="exact"/>
        <w:ind w:firstLine="720" w:firstLineChars="300"/>
        <w:rPr>
          <w:rFonts w:hint="eastAsia" w:asciiTheme="minorEastAsia" w:hAnsiTheme="minorEastAsia" w:eastAsiaTheme="minorEastAsia" w:cstheme="minorEastAsia"/>
          <w:color w:val="auto"/>
          <w:sz w:val="24"/>
          <w:szCs w:val="24"/>
          <w:highlight w:val="none"/>
        </w:rPr>
      </w:pPr>
    </w:p>
    <w:p>
      <w:pPr>
        <w:shd w:val="clear"/>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hd w:val="clear"/>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844" w:type="dxa"/>
            <w:noWrap w:val="0"/>
            <w:vAlign w:val="center"/>
          </w:tcPr>
          <w:p>
            <w:pPr>
              <w:shd w:val="clea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采购需求</w:t>
            </w:r>
          </w:p>
        </w:tc>
        <w:tc>
          <w:tcPr>
            <w:tcW w:w="2952" w:type="dxa"/>
            <w:noWrap w:val="0"/>
            <w:vAlign w:val="center"/>
          </w:tcPr>
          <w:p>
            <w:pPr>
              <w:shd w:val="clea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响应情况</w:t>
            </w:r>
          </w:p>
        </w:tc>
        <w:tc>
          <w:tcPr>
            <w:tcW w:w="2212" w:type="dxa"/>
            <w:noWrap w:val="0"/>
            <w:vAlign w:val="center"/>
          </w:tcPr>
          <w:p>
            <w:pPr>
              <w:shd w:val="clear"/>
              <w:tabs>
                <w:tab w:val="left" w:pos="6300"/>
              </w:tabs>
              <w:snapToGrid w:val="0"/>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提醒：具体内容以及具体内容的位置（页码）</w:t>
            </w: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844"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95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c>
          <w:tcPr>
            <w:tcW w:w="2212" w:type="dxa"/>
            <w:noWrap w:val="0"/>
            <w:vAlign w:val="center"/>
          </w:tcPr>
          <w:p>
            <w:pPr>
              <w:shd w:val="clear"/>
              <w:tabs>
                <w:tab w:val="left" w:pos="6300"/>
              </w:tabs>
              <w:snapToGrid w:val="0"/>
              <w:jc w:val="center"/>
              <w:outlineLvl w:val="0"/>
              <w:rPr>
                <w:rFonts w:hint="eastAsia" w:ascii="宋体" w:hAnsi="宋体" w:eastAsia="宋体" w:cs="宋体"/>
                <w:sz w:val="21"/>
                <w:szCs w:val="21"/>
                <w:highlight w:val="none"/>
              </w:rPr>
            </w:pPr>
          </w:p>
        </w:tc>
      </w:tr>
    </w:tbl>
    <w:p>
      <w:pPr>
        <w:shd w:val="clear"/>
        <w:spacing w:line="50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                        法定代表人或法定代表人授权代表：</w:t>
      </w:r>
    </w:p>
    <w:p>
      <w:pPr>
        <w:shd w:val="clear"/>
        <w:spacing w:line="500" w:lineRule="exact"/>
        <w:rPr>
          <w:rFonts w:hint="eastAsia" w:asciiTheme="minorEastAsia" w:hAnsiTheme="minorEastAsia" w:eastAsiaTheme="minorEastAsia" w:cstheme="minorEastAsia"/>
          <w:color w:val="auto"/>
          <w:sz w:val="24"/>
          <w:szCs w:val="24"/>
          <w:highlight w:val="none"/>
        </w:rPr>
      </w:pPr>
    </w:p>
    <w:p>
      <w:pPr>
        <w:shd w:val="clea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（公章）                                  （签字或盖章）</w:t>
      </w:r>
    </w:p>
    <w:p>
      <w:pPr>
        <w:shd w:val="clear"/>
        <w:spacing w:line="5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shd w:val="clea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pPr>
        <w:shd w:val="clea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1.本表即为对本项目“第三篇项目商务需求”中所列条款进行比较和响应；</w:t>
      </w:r>
    </w:p>
    <w:p>
      <w:pPr>
        <w:shd w:val="clea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2.本表可扩展。</w:t>
      </w:r>
      <w:r>
        <w:rPr>
          <w:rFonts w:hint="eastAsia" w:asciiTheme="minorEastAsia" w:hAnsiTheme="minorEastAsia" w:eastAsiaTheme="minorEastAsia" w:cstheme="minorEastAsia"/>
          <w:color w:val="auto"/>
          <w:sz w:val="24"/>
          <w:szCs w:val="24"/>
          <w:highlight w:val="none"/>
        </w:rPr>
        <w:br w:type="page"/>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（二）其它商务评审资料或承诺（自附）</w:t>
      </w:r>
    </w:p>
    <w:p>
      <w:pPr>
        <w:shd w:val="clea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bookmarkEnd w:id="265"/>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66" w:name="_Toc76462353"/>
      <w:bookmarkEnd w:id="266"/>
      <w:bookmarkStart w:id="267" w:name="_Toc313008359"/>
      <w:bookmarkEnd w:id="267"/>
      <w:bookmarkStart w:id="268" w:name="_Toc106030909"/>
      <w:bookmarkEnd w:id="268"/>
      <w:bookmarkStart w:id="269" w:name="_Toc313888363"/>
      <w:bookmarkEnd w:id="269"/>
      <w:bookmarkStart w:id="270" w:name="_Toc342913422"/>
      <w:bookmarkEnd w:id="270"/>
      <w:bookmarkStart w:id="271" w:name="_Toc28692"/>
      <w:bookmarkEnd w:id="271"/>
      <w:r>
        <w:rPr>
          <w:rFonts w:hint="eastAsia" w:asciiTheme="minorEastAsia" w:hAnsiTheme="minorEastAsia" w:eastAsiaTheme="minorEastAsia" w:cstheme="minorEastAsia"/>
          <w:color w:val="auto"/>
          <w:sz w:val="24"/>
          <w:szCs w:val="24"/>
          <w:highlight w:val="none"/>
        </w:rPr>
        <w:br w:type="page"/>
      </w:r>
      <w:bookmarkStart w:id="272" w:name="_Toc23338"/>
      <w:bookmarkStart w:id="273" w:name="_Toc8039"/>
      <w:bookmarkStart w:id="274" w:name="_Toc17631"/>
      <w:r>
        <w:rPr>
          <w:rFonts w:hint="eastAsia" w:asciiTheme="minorEastAsia" w:hAnsiTheme="minorEastAsia" w:eastAsiaTheme="minorEastAsia" w:cstheme="minorEastAsia"/>
          <w:color w:val="auto"/>
          <w:sz w:val="24"/>
          <w:highlight w:val="none"/>
        </w:rPr>
        <w:t>四、资格条件</w:t>
      </w:r>
      <w:bookmarkEnd w:id="272"/>
      <w:bookmarkEnd w:id="273"/>
      <w:bookmarkEnd w:id="274"/>
    </w:p>
    <w:p>
      <w:pPr>
        <w:shd w:val="clea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shd w:val="clea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pPr>
        <w:shd w:val="clea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名称）：</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（附：法定代表人身份证正反面复印件）</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名称）：</w:t>
      </w:r>
    </w:p>
    <w:p>
      <w:pPr>
        <w:shd w:val="clea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（被授权人姓名及身份证代码）代表我单位全权办理上述项目的投标、签约等具体工作，并签署全部有关文件、协议及合同。</w:t>
      </w:r>
    </w:p>
    <w:p>
      <w:pPr>
        <w:shd w:val="clea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pPr>
        <w:shd w:val="clea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shd w:val="clea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shd w:val="clea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pPr>
        <w:shd w:val="clea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注：若为法定代表人办理并签署响应文件的，不提供此文件。</w:t>
      </w: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pPr>
        <w:shd w:val="clea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pPr>
        <w:shd w:val="clear"/>
        <w:tabs>
          <w:tab w:val="left" w:pos="6300"/>
        </w:tabs>
        <w:snapToGrid w:val="0"/>
        <w:spacing w:line="530" w:lineRule="exact"/>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代理机构名称）：</w:t>
      </w:r>
    </w:p>
    <w:p>
      <w:pPr>
        <w:shd w:val="clea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pPr>
        <w:shd w:val="clea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pPr>
        <w:shd w:val="clea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shd w:val="clea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项目评审（评标）环节结束后，随时接受</w:t>
      </w:r>
      <w:r>
        <w:rPr>
          <w:rFonts w:hint="eastAsia" w:asciiTheme="minorEastAsia" w:hAnsiTheme="minorEastAsia" w:eastAsiaTheme="minorEastAsia" w:cstheme="minorEastAsia"/>
          <w:color w:val="auto"/>
          <w:sz w:val="24"/>
          <w:highlight w:val="none"/>
          <w:lang w:eastAsia="zh-CN"/>
        </w:rPr>
        <w:t>比选人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比选代理机构</w:t>
      </w:r>
      <w:r>
        <w:rPr>
          <w:rFonts w:hint="eastAsia" w:asciiTheme="minorEastAsia" w:hAnsiTheme="minorEastAsia" w:eastAsiaTheme="minorEastAsia" w:cstheme="minorEastAsia"/>
          <w:color w:val="auto"/>
          <w:sz w:val="24"/>
          <w:highlight w:val="none"/>
        </w:rPr>
        <w:t>的检查验证，配合提供相关证明材料，证明符合《中华人民共和国政府采购法》规定的供应商基本资格条件。</w:t>
      </w:r>
    </w:p>
    <w:p>
      <w:pPr>
        <w:shd w:val="clea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pPr>
        <w:shd w:val="clea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pPr>
        <w:shd w:val="clea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pPr>
        <w:shd w:val="clea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pPr>
        <w:shd w:val="clea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pPr>
        <w:shd w:val="clea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p>
    <w:p>
      <w:pPr>
        <w:pStyle w:val="4"/>
        <w:shd w:val="clea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75" w:name="_Toc106030910"/>
      <w:bookmarkEnd w:id="275"/>
      <w:bookmarkStart w:id="276" w:name="_Toc7667"/>
      <w:bookmarkEnd w:id="276"/>
      <w:bookmarkStart w:id="277" w:name="_Toc76462354"/>
      <w:bookmarkEnd w:id="277"/>
      <w:bookmarkStart w:id="278" w:name="_Toc14422"/>
      <w:bookmarkEnd w:id="278"/>
      <w:bookmarkStart w:id="279" w:name="_Toc13702"/>
      <w:bookmarkStart w:id="280" w:name="_Toc27884"/>
      <w:bookmarkStart w:id="281" w:name="_Toc18881"/>
      <w:r>
        <w:rPr>
          <w:rFonts w:hint="eastAsia" w:asciiTheme="minorEastAsia" w:hAnsiTheme="minorEastAsia" w:eastAsiaTheme="minorEastAsia" w:cstheme="minorEastAsia"/>
          <w:color w:val="auto"/>
          <w:sz w:val="24"/>
          <w:highlight w:val="none"/>
        </w:rPr>
        <w:t>五、其他资料</w:t>
      </w:r>
      <w:bookmarkEnd w:id="279"/>
      <w:bookmarkEnd w:id="280"/>
      <w:bookmarkEnd w:id="281"/>
    </w:p>
    <w:p>
      <w:pPr>
        <w:shd w:val="clear"/>
        <w:rPr>
          <w:rFonts w:hint="eastAsia" w:asciiTheme="minorEastAsia" w:hAnsiTheme="minorEastAsia" w:eastAsiaTheme="minorEastAsia" w:cstheme="minorEastAsia"/>
          <w:color w:val="auto"/>
          <w:sz w:val="24"/>
          <w:szCs w:val="24"/>
          <w:highlight w:val="none"/>
        </w:rPr>
      </w:pPr>
    </w:p>
    <w:p>
      <w:pPr>
        <w:shd w:val="clea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其他与项目有关的资料（自附）</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cs="宋体"/>
          <w:sz w:val="24"/>
          <w:szCs w:val="24"/>
          <w:highlight w:val="none"/>
        </w:rPr>
        <w:t>供应商总体情况介绍、</w:t>
      </w:r>
      <w:r>
        <w:rPr>
          <w:rFonts w:hint="eastAsia" w:ascii="宋体" w:hAnsi="宋体" w:cs="宋体"/>
          <w:sz w:val="24"/>
          <w:szCs w:val="24"/>
          <w:highlight w:val="none"/>
          <w:lang w:val="en-US" w:eastAsia="zh-CN"/>
        </w:rPr>
        <w:t>信用中国企业报告、</w:t>
      </w:r>
      <w:r>
        <w:rPr>
          <w:rFonts w:hint="eastAsia" w:ascii="宋体" w:hAnsi="宋体" w:cs="宋体"/>
          <w:sz w:val="24"/>
          <w:szCs w:val="24"/>
          <w:highlight w:val="none"/>
        </w:rPr>
        <w:t>其他与本项目有关的资料等</w:t>
      </w:r>
    </w:p>
    <w:p>
      <w:pPr>
        <w:shd w:val="clea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hd w:val="clea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hd w:val="clea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hd w:val="clea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hd w:val="clea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hd w:val="clea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hd w:val="clea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hd w:val="clea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hd w:val="clea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hd w:val="clea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shd w:val="clea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sz w:val="24"/>
          <w:szCs w:val="24"/>
          <w:highlight w:val="none"/>
        </w:rPr>
      </w:pPr>
    </w:p>
    <w:p>
      <w:pPr>
        <w:shd w:val="clear"/>
        <w:rPr>
          <w:rFonts w:hint="eastAsia" w:asciiTheme="minorEastAsia" w:hAnsiTheme="minorEastAsia" w:eastAsiaTheme="minorEastAsia" w:cstheme="minorEastAsia"/>
          <w:color w:val="auto"/>
          <w:sz w:val="24"/>
          <w:szCs w:val="24"/>
          <w:highlight w:val="none"/>
        </w:rPr>
      </w:pPr>
    </w:p>
    <w:p>
      <w:pPr>
        <w:pStyle w:val="2"/>
        <w:shd w:val="clear"/>
        <w:rPr>
          <w:rFonts w:hint="eastAsia" w:asciiTheme="minorEastAsia" w:hAnsiTheme="minorEastAsia" w:eastAsiaTheme="minorEastAsia" w:cstheme="minorEastAsia"/>
          <w:color w:val="auto"/>
          <w:highlight w:val="none"/>
        </w:rPr>
      </w:pPr>
    </w:p>
    <w:p>
      <w:pPr>
        <w:shd w:val="clear"/>
        <w:spacing w:line="360" w:lineRule="auto"/>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（结束）</w:t>
      </w:r>
    </w:p>
    <w:p>
      <w:pPr>
        <w:shd w:val="clear"/>
        <w:rPr>
          <w:rFonts w:hint="eastAsia" w:asciiTheme="minorEastAsia" w:hAnsiTheme="minorEastAsia" w:eastAsiaTheme="minorEastAsia" w:cstheme="minorEastAsia"/>
          <w:color w:val="auto"/>
          <w:sz w:val="24"/>
          <w:szCs w:val="24"/>
          <w:highlight w:val="none"/>
        </w:rPr>
      </w:pPr>
    </w:p>
    <w:sectPr>
      <w:headerReference r:id="rId9" w:type="default"/>
      <w:footerReference r:id="rId10" w:type="default"/>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Segoe Print"/>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embedRegular r:id="rId1" w:fontKey="{4C6A4CB1-AD4E-45D8-B39B-AD52289895EA}"/>
  </w:font>
  <w:font w:name="微软雅黑">
    <w:panose1 w:val="020B0503020204020204"/>
    <w:charset w:val="86"/>
    <w:family w:val="auto"/>
    <w:pitch w:val="default"/>
    <w:sig w:usb0="80000287" w:usb1="2ACF3C50" w:usb2="00000016" w:usb3="00000000" w:csb0="0004001F" w:csb1="00000000"/>
    <w:embedRegular r:id="rId2" w:fontKey="{28AE3233-2D65-49E2-807E-A53CC5D67D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4"/>
      </w:rPr>
    </w:pPr>
    <w:r>
      <w:fldChar w:fldCharType="begin"/>
    </w:r>
    <w:r>
      <w:rPr>
        <w:rStyle w:val="6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4"/>
      </w:rPr>
    </w:pPr>
  </w:p>
  <w:p>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7" w:line="183" w:lineRule="auto"/>
      <w:ind w:left="1"/>
      <w:rPr>
        <w:rFonts w:ascii="微软雅黑" w:hAnsi="微软雅黑" w:eastAsia="微软雅黑" w:cs="微软雅黑"/>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9"/>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6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1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0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46"/>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3"/>
  </w:num>
  <w:num w:numId="3">
    <w:abstractNumId w:val="9"/>
  </w:num>
  <w:num w:numId="4">
    <w:abstractNumId w:val="0"/>
  </w:num>
  <w:num w:numId="5">
    <w:abstractNumId w:val="6"/>
  </w:num>
  <w:num w:numId="6">
    <w:abstractNumId w:val="11"/>
  </w:num>
  <w:num w:numId="7">
    <w:abstractNumId w:val="1"/>
  </w:num>
  <w:num w:numId="8">
    <w:abstractNumId w:val="2"/>
  </w:num>
  <w:num w:numId="9">
    <w:abstractNumId w:val="5"/>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ZTZlOTk5MGMzZWJkNTJhM2Y2M2Q3OTQ2YmVlMzQifQ=="/>
    <w:docVar w:name="KSO_WPS_MARK_KEY" w:val="99f1670f-16cf-40a7-8b3b-fd64ee338d96"/>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1B9"/>
    <w:rsid w:val="00061A7C"/>
    <w:rsid w:val="00063981"/>
    <w:rsid w:val="00074C38"/>
    <w:rsid w:val="000816AD"/>
    <w:rsid w:val="00082CC1"/>
    <w:rsid w:val="00090C5A"/>
    <w:rsid w:val="00091B1C"/>
    <w:rsid w:val="00091D22"/>
    <w:rsid w:val="0009494A"/>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20F"/>
    <w:rsid w:val="000E5AB0"/>
    <w:rsid w:val="000F302A"/>
    <w:rsid w:val="000F3D5B"/>
    <w:rsid w:val="000F64D7"/>
    <w:rsid w:val="000F7DBF"/>
    <w:rsid w:val="0010014A"/>
    <w:rsid w:val="00100639"/>
    <w:rsid w:val="0010088E"/>
    <w:rsid w:val="001028FD"/>
    <w:rsid w:val="00105638"/>
    <w:rsid w:val="0010716D"/>
    <w:rsid w:val="001125CE"/>
    <w:rsid w:val="001140DC"/>
    <w:rsid w:val="00114CFE"/>
    <w:rsid w:val="00115337"/>
    <w:rsid w:val="001166B8"/>
    <w:rsid w:val="0011683E"/>
    <w:rsid w:val="00116856"/>
    <w:rsid w:val="00116C42"/>
    <w:rsid w:val="0011780F"/>
    <w:rsid w:val="00117B26"/>
    <w:rsid w:val="00120259"/>
    <w:rsid w:val="00122F9D"/>
    <w:rsid w:val="0012452F"/>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55A1D"/>
    <w:rsid w:val="00156899"/>
    <w:rsid w:val="0016265A"/>
    <w:rsid w:val="00171E05"/>
    <w:rsid w:val="00172A27"/>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6ADA"/>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073D"/>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52C8"/>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B621C"/>
    <w:rsid w:val="003D0E0A"/>
    <w:rsid w:val="003D3B22"/>
    <w:rsid w:val="003D7B3D"/>
    <w:rsid w:val="003E0348"/>
    <w:rsid w:val="003F3DB1"/>
    <w:rsid w:val="003F451E"/>
    <w:rsid w:val="003F4939"/>
    <w:rsid w:val="003F626F"/>
    <w:rsid w:val="003F6794"/>
    <w:rsid w:val="00402B32"/>
    <w:rsid w:val="00404E11"/>
    <w:rsid w:val="0040519F"/>
    <w:rsid w:val="0040781E"/>
    <w:rsid w:val="00410C93"/>
    <w:rsid w:val="004110DA"/>
    <w:rsid w:val="004115FB"/>
    <w:rsid w:val="00411B4A"/>
    <w:rsid w:val="004134DD"/>
    <w:rsid w:val="004148C8"/>
    <w:rsid w:val="00417E99"/>
    <w:rsid w:val="00421507"/>
    <w:rsid w:val="00424D02"/>
    <w:rsid w:val="0042525A"/>
    <w:rsid w:val="004260F1"/>
    <w:rsid w:val="0042733C"/>
    <w:rsid w:val="0044185A"/>
    <w:rsid w:val="0044193A"/>
    <w:rsid w:val="004508D7"/>
    <w:rsid w:val="00453B8F"/>
    <w:rsid w:val="004556B7"/>
    <w:rsid w:val="00460489"/>
    <w:rsid w:val="004608C7"/>
    <w:rsid w:val="00462878"/>
    <w:rsid w:val="00465B7A"/>
    <w:rsid w:val="00471121"/>
    <w:rsid w:val="00472AA2"/>
    <w:rsid w:val="00473B39"/>
    <w:rsid w:val="00474175"/>
    <w:rsid w:val="004751FC"/>
    <w:rsid w:val="00481309"/>
    <w:rsid w:val="00485B7C"/>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2A66"/>
    <w:rsid w:val="004D433D"/>
    <w:rsid w:val="004D4410"/>
    <w:rsid w:val="004E156F"/>
    <w:rsid w:val="004E2F88"/>
    <w:rsid w:val="004E550E"/>
    <w:rsid w:val="004E55DB"/>
    <w:rsid w:val="004E67C6"/>
    <w:rsid w:val="004F5959"/>
    <w:rsid w:val="004F670C"/>
    <w:rsid w:val="004F6D5A"/>
    <w:rsid w:val="00502B2F"/>
    <w:rsid w:val="00512D00"/>
    <w:rsid w:val="00512D44"/>
    <w:rsid w:val="00514179"/>
    <w:rsid w:val="00516243"/>
    <w:rsid w:val="005164D4"/>
    <w:rsid w:val="00533179"/>
    <w:rsid w:val="005406A0"/>
    <w:rsid w:val="00540E03"/>
    <w:rsid w:val="00541D5F"/>
    <w:rsid w:val="00544BEA"/>
    <w:rsid w:val="005460D5"/>
    <w:rsid w:val="00553CF0"/>
    <w:rsid w:val="00557C75"/>
    <w:rsid w:val="00566A85"/>
    <w:rsid w:val="00570C78"/>
    <w:rsid w:val="00573AE3"/>
    <w:rsid w:val="005747D1"/>
    <w:rsid w:val="00581EF9"/>
    <w:rsid w:val="00583690"/>
    <w:rsid w:val="005902D9"/>
    <w:rsid w:val="0059075F"/>
    <w:rsid w:val="00596AB7"/>
    <w:rsid w:val="005A1B5C"/>
    <w:rsid w:val="005A1EA7"/>
    <w:rsid w:val="005A2B3C"/>
    <w:rsid w:val="005A6A12"/>
    <w:rsid w:val="005B0724"/>
    <w:rsid w:val="005B1E46"/>
    <w:rsid w:val="005B5AA4"/>
    <w:rsid w:val="005C3F4B"/>
    <w:rsid w:val="005C42AC"/>
    <w:rsid w:val="005C4F84"/>
    <w:rsid w:val="005D2EC6"/>
    <w:rsid w:val="005D37D0"/>
    <w:rsid w:val="005D41E8"/>
    <w:rsid w:val="005D703E"/>
    <w:rsid w:val="005E35E9"/>
    <w:rsid w:val="005E4DB8"/>
    <w:rsid w:val="005E5525"/>
    <w:rsid w:val="005F38BB"/>
    <w:rsid w:val="005F7895"/>
    <w:rsid w:val="0060003E"/>
    <w:rsid w:val="00602BBE"/>
    <w:rsid w:val="0060315D"/>
    <w:rsid w:val="00610C85"/>
    <w:rsid w:val="00613410"/>
    <w:rsid w:val="00617986"/>
    <w:rsid w:val="006256CA"/>
    <w:rsid w:val="00625BD5"/>
    <w:rsid w:val="00627729"/>
    <w:rsid w:val="00627F21"/>
    <w:rsid w:val="0063025A"/>
    <w:rsid w:val="0064583B"/>
    <w:rsid w:val="006468B8"/>
    <w:rsid w:val="00651127"/>
    <w:rsid w:val="0065190C"/>
    <w:rsid w:val="006542F1"/>
    <w:rsid w:val="00654A48"/>
    <w:rsid w:val="0065651B"/>
    <w:rsid w:val="006602C8"/>
    <w:rsid w:val="00664607"/>
    <w:rsid w:val="00665941"/>
    <w:rsid w:val="0066755F"/>
    <w:rsid w:val="00670089"/>
    <w:rsid w:val="00670C89"/>
    <w:rsid w:val="00671233"/>
    <w:rsid w:val="0067607E"/>
    <w:rsid w:val="006763DC"/>
    <w:rsid w:val="006765A1"/>
    <w:rsid w:val="00680AE4"/>
    <w:rsid w:val="00682205"/>
    <w:rsid w:val="006822B0"/>
    <w:rsid w:val="00684E51"/>
    <w:rsid w:val="0068793C"/>
    <w:rsid w:val="00693AFD"/>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2326"/>
    <w:rsid w:val="00703E07"/>
    <w:rsid w:val="00704E5D"/>
    <w:rsid w:val="00705739"/>
    <w:rsid w:val="00705B1A"/>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51B13"/>
    <w:rsid w:val="00762B70"/>
    <w:rsid w:val="007636FE"/>
    <w:rsid w:val="00766091"/>
    <w:rsid w:val="0077408E"/>
    <w:rsid w:val="00780577"/>
    <w:rsid w:val="00781AD3"/>
    <w:rsid w:val="00781BFB"/>
    <w:rsid w:val="007867EC"/>
    <w:rsid w:val="00786FA7"/>
    <w:rsid w:val="0079177C"/>
    <w:rsid w:val="00791CA6"/>
    <w:rsid w:val="00792353"/>
    <w:rsid w:val="00794382"/>
    <w:rsid w:val="007959AC"/>
    <w:rsid w:val="00796323"/>
    <w:rsid w:val="007A20E0"/>
    <w:rsid w:val="007B2204"/>
    <w:rsid w:val="007B4B60"/>
    <w:rsid w:val="007B7278"/>
    <w:rsid w:val="007C1691"/>
    <w:rsid w:val="007C6B0F"/>
    <w:rsid w:val="007D0625"/>
    <w:rsid w:val="007D167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45343"/>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23CD"/>
    <w:rsid w:val="008A4D88"/>
    <w:rsid w:val="008B25E8"/>
    <w:rsid w:val="008C1B22"/>
    <w:rsid w:val="008C4C84"/>
    <w:rsid w:val="008C510F"/>
    <w:rsid w:val="008D067F"/>
    <w:rsid w:val="008D3283"/>
    <w:rsid w:val="008E437B"/>
    <w:rsid w:val="008E4D3F"/>
    <w:rsid w:val="008E66B8"/>
    <w:rsid w:val="008F0A2E"/>
    <w:rsid w:val="008F12A2"/>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29C"/>
    <w:rsid w:val="00962BF1"/>
    <w:rsid w:val="00963237"/>
    <w:rsid w:val="00966820"/>
    <w:rsid w:val="00966FC7"/>
    <w:rsid w:val="00971E57"/>
    <w:rsid w:val="009723CF"/>
    <w:rsid w:val="00972F46"/>
    <w:rsid w:val="00973D3A"/>
    <w:rsid w:val="009741DC"/>
    <w:rsid w:val="0097652A"/>
    <w:rsid w:val="00980037"/>
    <w:rsid w:val="00983B43"/>
    <w:rsid w:val="00984742"/>
    <w:rsid w:val="0099161D"/>
    <w:rsid w:val="00991B37"/>
    <w:rsid w:val="009B6208"/>
    <w:rsid w:val="009B71FF"/>
    <w:rsid w:val="009C2A40"/>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5AE6"/>
    <w:rsid w:val="00A06013"/>
    <w:rsid w:val="00A104A7"/>
    <w:rsid w:val="00A12904"/>
    <w:rsid w:val="00A15FBF"/>
    <w:rsid w:val="00A1616D"/>
    <w:rsid w:val="00A1783B"/>
    <w:rsid w:val="00A22333"/>
    <w:rsid w:val="00A224AC"/>
    <w:rsid w:val="00A26FF7"/>
    <w:rsid w:val="00A27159"/>
    <w:rsid w:val="00A37A20"/>
    <w:rsid w:val="00A445DC"/>
    <w:rsid w:val="00A44BEA"/>
    <w:rsid w:val="00A47C22"/>
    <w:rsid w:val="00A55B14"/>
    <w:rsid w:val="00A5689C"/>
    <w:rsid w:val="00A569E8"/>
    <w:rsid w:val="00A57FAF"/>
    <w:rsid w:val="00A601C4"/>
    <w:rsid w:val="00A604FA"/>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6F"/>
    <w:rsid w:val="00B229A5"/>
    <w:rsid w:val="00B2488E"/>
    <w:rsid w:val="00B25998"/>
    <w:rsid w:val="00B25EB3"/>
    <w:rsid w:val="00B42056"/>
    <w:rsid w:val="00B478C3"/>
    <w:rsid w:val="00B52715"/>
    <w:rsid w:val="00B5332B"/>
    <w:rsid w:val="00B61348"/>
    <w:rsid w:val="00B6263F"/>
    <w:rsid w:val="00B67114"/>
    <w:rsid w:val="00B678C7"/>
    <w:rsid w:val="00B70368"/>
    <w:rsid w:val="00B7097C"/>
    <w:rsid w:val="00B72BCC"/>
    <w:rsid w:val="00B74F7A"/>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43D7"/>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1A99"/>
    <w:rsid w:val="00C62B51"/>
    <w:rsid w:val="00C65711"/>
    <w:rsid w:val="00C66460"/>
    <w:rsid w:val="00C76ECD"/>
    <w:rsid w:val="00C8221C"/>
    <w:rsid w:val="00C84B63"/>
    <w:rsid w:val="00C84E04"/>
    <w:rsid w:val="00C86DC6"/>
    <w:rsid w:val="00C910BE"/>
    <w:rsid w:val="00C922BE"/>
    <w:rsid w:val="00CA10F9"/>
    <w:rsid w:val="00CA1453"/>
    <w:rsid w:val="00CA14F4"/>
    <w:rsid w:val="00CA583F"/>
    <w:rsid w:val="00CA5844"/>
    <w:rsid w:val="00CA7415"/>
    <w:rsid w:val="00CB265C"/>
    <w:rsid w:val="00CB2BDD"/>
    <w:rsid w:val="00CB32BC"/>
    <w:rsid w:val="00CB4540"/>
    <w:rsid w:val="00CB4951"/>
    <w:rsid w:val="00CB7A07"/>
    <w:rsid w:val="00CC59BB"/>
    <w:rsid w:val="00CC610F"/>
    <w:rsid w:val="00CD1B93"/>
    <w:rsid w:val="00CD3BD4"/>
    <w:rsid w:val="00CD3CC8"/>
    <w:rsid w:val="00CD4915"/>
    <w:rsid w:val="00CD60BD"/>
    <w:rsid w:val="00CD635D"/>
    <w:rsid w:val="00CD6DEE"/>
    <w:rsid w:val="00CD7C5B"/>
    <w:rsid w:val="00CD7CED"/>
    <w:rsid w:val="00CE04C7"/>
    <w:rsid w:val="00CE2AC9"/>
    <w:rsid w:val="00CE2AFE"/>
    <w:rsid w:val="00CE7B14"/>
    <w:rsid w:val="00CF0AB3"/>
    <w:rsid w:val="00CF156B"/>
    <w:rsid w:val="00CF1E02"/>
    <w:rsid w:val="00CF4BD6"/>
    <w:rsid w:val="00CF597A"/>
    <w:rsid w:val="00D00228"/>
    <w:rsid w:val="00D00DA0"/>
    <w:rsid w:val="00D0103F"/>
    <w:rsid w:val="00D03E34"/>
    <w:rsid w:val="00D05BAA"/>
    <w:rsid w:val="00D05EFC"/>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3852"/>
    <w:rsid w:val="00D44059"/>
    <w:rsid w:val="00D4511A"/>
    <w:rsid w:val="00D510AE"/>
    <w:rsid w:val="00D51813"/>
    <w:rsid w:val="00D51F2C"/>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1848"/>
    <w:rsid w:val="00DF235C"/>
    <w:rsid w:val="00DF426D"/>
    <w:rsid w:val="00DF47D6"/>
    <w:rsid w:val="00DF4D5A"/>
    <w:rsid w:val="00DF5425"/>
    <w:rsid w:val="00DF782C"/>
    <w:rsid w:val="00DF7BC6"/>
    <w:rsid w:val="00E00813"/>
    <w:rsid w:val="00E030A0"/>
    <w:rsid w:val="00E04F16"/>
    <w:rsid w:val="00E075A1"/>
    <w:rsid w:val="00E0797A"/>
    <w:rsid w:val="00E11432"/>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46ECE"/>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E7379"/>
    <w:rsid w:val="00EF0199"/>
    <w:rsid w:val="00EF2D23"/>
    <w:rsid w:val="00EF5BBC"/>
    <w:rsid w:val="00EF5CFC"/>
    <w:rsid w:val="00F0263C"/>
    <w:rsid w:val="00F0402A"/>
    <w:rsid w:val="00F07266"/>
    <w:rsid w:val="00F15A52"/>
    <w:rsid w:val="00F16313"/>
    <w:rsid w:val="00F1700E"/>
    <w:rsid w:val="00F20820"/>
    <w:rsid w:val="00F20FF1"/>
    <w:rsid w:val="00F24317"/>
    <w:rsid w:val="00F25F5F"/>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3767"/>
    <w:rsid w:val="00FD5823"/>
    <w:rsid w:val="00FD7BE0"/>
    <w:rsid w:val="00FE1C27"/>
    <w:rsid w:val="00FE326F"/>
    <w:rsid w:val="00FE5C31"/>
    <w:rsid w:val="00FF0F20"/>
    <w:rsid w:val="00FF1B0E"/>
    <w:rsid w:val="00FF268A"/>
    <w:rsid w:val="00FF748B"/>
    <w:rsid w:val="010E1F90"/>
    <w:rsid w:val="012439C1"/>
    <w:rsid w:val="012B4701"/>
    <w:rsid w:val="014003F5"/>
    <w:rsid w:val="014A102B"/>
    <w:rsid w:val="015679D0"/>
    <w:rsid w:val="01666735"/>
    <w:rsid w:val="016E3A01"/>
    <w:rsid w:val="01B6046E"/>
    <w:rsid w:val="01C507DC"/>
    <w:rsid w:val="01CF7782"/>
    <w:rsid w:val="01D737EA"/>
    <w:rsid w:val="01EE2BD1"/>
    <w:rsid w:val="01EE7C08"/>
    <w:rsid w:val="01F3521E"/>
    <w:rsid w:val="01FC7E27"/>
    <w:rsid w:val="020531A4"/>
    <w:rsid w:val="02105DD0"/>
    <w:rsid w:val="025B1A26"/>
    <w:rsid w:val="02AE7397"/>
    <w:rsid w:val="02CB1CF7"/>
    <w:rsid w:val="02EE5303"/>
    <w:rsid w:val="02F343D6"/>
    <w:rsid w:val="03037256"/>
    <w:rsid w:val="03526967"/>
    <w:rsid w:val="036358E3"/>
    <w:rsid w:val="039E00E0"/>
    <w:rsid w:val="03BD3D36"/>
    <w:rsid w:val="03C50E3C"/>
    <w:rsid w:val="03D119A1"/>
    <w:rsid w:val="040A2CF3"/>
    <w:rsid w:val="041457E8"/>
    <w:rsid w:val="04153F23"/>
    <w:rsid w:val="042A2A5B"/>
    <w:rsid w:val="043A57D9"/>
    <w:rsid w:val="043E138F"/>
    <w:rsid w:val="04402271"/>
    <w:rsid w:val="045559CC"/>
    <w:rsid w:val="048E4BB2"/>
    <w:rsid w:val="04CC47D2"/>
    <w:rsid w:val="04FE61EB"/>
    <w:rsid w:val="05022CF2"/>
    <w:rsid w:val="05663F59"/>
    <w:rsid w:val="05937169"/>
    <w:rsid w:val="059E36F3"/>
    <w:rsid w:val="05A97B5B"/>
    <w:rsid w:val="05B47F69"/>
    <w:rsid w:val="05C217CC"/>
    <w:rsid w:val="05CF6D44"/>
    <w:rsid w:val="05F52847"/>
    <w:rsid w:val="0636240F"/>
    <w:rsid w:val="06450013"/>
    <w:rsid w:val="065C4581"/>
    <w:rsid w:val="065D0A0A"/>
    <w:rsid w:val="066A5A55"/>
    <w:rsid w:val="067803E8"/>
    <w:rsid w:val="06826B27"/>
    <w:rsid w:val="068F292B"/>
    <w:rsid w:val="069631A7"/>
    <w:rsid w:val="069E1975"/>
    <w:rsid w:val="06D93273"/>
    <w:rsid w:val="06E92019"/>
    <w:rsid w:val="070F3095"/>
    <w:rsid w:val="07230354"/>
    <w:rsid w:val="07400F20"/>
    <w:rsid w:val="0745369D"/>
    <w:rsid w:val="07492D5E"/>
    <w:rsid w:val="07584455"/>
    <w:rsid w:val="0765771E"/>
    <w:rsid w:val="079B25E0"/>
    <w:rsid w:val="07D77390"/>
    <w:rsid w:val="083612A8"/>
    <w:rsid w:val="08782F51"/>
    <w:rsid w:val="08942FEC"/>
    <w:rsid w:val="08E73603"/>
    <w:rsid w:val="09280DA2"/>
    <w:rsid w:val="094401F6"/>
    <w:rsid w:val="096E162E"/>
    <w:rsid w:val="09700714"/>
    <w:rsid w:val="0993196F"/>
    <w:rsid w:val="09D26061"/>
    <w:rsid w:val="09D27E0F"/>
    <w:rsid w:val="09F4422A"/>
    <w:rsid w:val="0A790C1D"/>
    <w:rsid w:val="0A7A13B6"/>
    <w:rsid w:val="0A85030A"/>
    <w:rsid w:val="0AC179A7"/>
    <w:rsid w:val="0AD63DB2"/>
    <w:rsid w:val="0B004928"/>
    <w:rsid w:val="0B057CC3"/>
    <w:rsid w:val="0B073AE9"/>
    <w:rsid w:val="0B097DC8"/>
    <w:rsid w:val="0B281DB2"/>
    <w:rsid w:val="0B286835"/>
    <w:rsid w:val="0B392039"/>
    <w:rsid w:val="0B7D3DAB"/>
    <w:rsid w:val="0BB05E7F"/>
    <w:rsid w:val="0BBD7F27"/>
    <w:rsid w:val="0BEC2ED1"/>
    <w:rsid w:val="0C000C64"/>
    <w:rsid w:val="0C1C6869"/>
    <w:rsid w:val="0C5114BF"/>
    <w:rsid w:val="0C541CC6"/>
    <w:rsid w:val="0C61547A"/>
    <w:rsid w:val="0C675B15"/>
    <w:rsid w:val="0C9E75C1"/>
    <w:rsid w:val="0CAF6E3B"/>
    <w:rsid w:val="0CB979F2"/>
    <w:rsid w:val="0CFB2CD2"/>
    <w:rsid w:val="0D1A58CE"/>
    <w:rsid w:val="0D8458C4"/>
    <w:rsid w:val="0D852AFC"/>
    <w:rsid w:val="0D97527E"/>
    <w:rsid w:val="0DAB4B9A"/>
    <w:rsid w:val="0DC82110"/>
    <w:rsid w:val="0E023C9B"/>
    <w:rsid w:val="0E274886"/>
    <w:rsid w:val="0E680D42"/>
    <w:rsid w:val="0E8536A2"/>
    <w:rsid w:val="0E941939"/>
    <w:rsid w:val="0EAD1C9D"/>
    <w:rsid w:val="0EE4486D"/>
    <w:rsid w:val="0EF22370"/>
    <w:rsid w:val="0F3D5D2B"/>
    <w:rsid w:val="0F41564B"/>
    <w:rsid w:val="0F517A28"/>
    <w:rsid w:val="0F73F1F0"/>
    <w:rsid w:val="0F875445"/>
    <w:rsid w:val="0F8D020F"/>
    <w:rsid w:val="0F8F138C"/>
    <w:rsid w:val="0F990090"/>
    <w:rsid w:val="0FA61B22"/>
    <w:rsid w:val="0FA93CD9"/>
    <w:rsid w:val="0FB24129"/>
    <w:rsid w:val="0FC3607D"/>
    <w:rsid w:val="0FC958A4"/>
    <w:rsid w:val="0FCE07B5"/>
    <w:rsid w:val="0FD3043D"/>
    <w:rsid w:val="0FD6060D"/>
    <w:rsid w:val="0FEE34C9"/>
    <w:rsid w:val="1055167A"/>
    <w:rsid w:val="1057100A"/>
    <w:rsid w:val="107E65FB"/>
    <w:rsid w:val="109D1177"/>
    <w:rsid w:val="109F3AE9"/>
    <w:rsid w:val="10A6525C"/>
    <w:rsid w:val="10BF3A0D"/>
    <w:rsid w:val="10C67196"/>
    <w:rsid w:val="113D0264"/>
    <w:rsid w:val="114915F7"/>
    <w:rsid w:val="114D490E"/>
    <w:rsid w:val="11521554"/>
    <w:rsid w:val="11651A69"/>
    <w:rsid w:val="116E08FD"/>
    <w:rsid w:val="116E48C1"/>
    <w:rsid w:val="117D2D56"/>
    <w:rsid w:val="11A83A5F"/>
    <w:rsid w:val="11A93906"/>
    <w:rsid w:val="11BA5AC3"/>
    <w:rsid w:val="11C95F9C"/>
    <w:rsid w:val="11ED7F46"/>
    <w:rsid w:val="120506B9"/>
    <w:rsid w:val="12064AFA"/>
    <w:rsid w:val="120D40DA"/>
    <w:rsid w:val="12333415"/>
    <w:rsid w:val="127C38CA"/>
    <w:rsid w:val="12A460C1"/>
    <w:rsid w:val="12C815A1"/>
    <w:rsid w:val="12D6478B"/>
    <w:rsid w:val="12E42DCF"/>
    <w:rsid w:val="1300779B"/>
    <w:rsid w:val="131C339B"/>
    <w:rsid w:val="13517FF7"/>
    <w:rsid w:val="13622204"/>
    <w:rsid w:val="138A4589"/>
    <w:rsid w:val="13B8757C"/>
    <w:rsid w:val="13D604FC"/>
    <w:rsid w:val="13E95FBD"/>
    <w:rsid w:val="13F448E3"/>
    <w:rsid w:val="141334FE"/>
    <w:rsid w:val="144A06F6"/>
    <w:rsid w:val="14531E2D"/>
    <w:rsid w:val="14535FF1"/>
    <w:rsid w:val="14687E7F"/>
    <w:rsid w:val="147A5E14"/>
    <w:rsid w:val="1497412F"/>
    <w:rsid w:val="14D42C8D"/>
    <w:rsid w:val="14E530ED"/>
    <w:rsid w:val="15612461"/>
    <w:rsid w:val="156264EB"/>
    <w:rsid w:val="159F14ED"/>
    <w:rsid w:val="15A80551"/>
    <w:rsid w:val="15CE0478"/>
    <w:rsid w:val="15DF5D8E"/>
    <w:rsid w:val="15FD6E32"/>
    <w:rsid w:val="16293794"/>
    <w:rsid w:val="16585D24"/>
    <w:rsid w:val="16646293"/>
    <w:rsid w:val="168C6C90"/>
    <w:rsid w:val="16A448E1"/>
    <w:rsid w:val="16C0518A"/>
    <w:rsid w:val="16C15FA5"/>
    <w:rsid w:val="16C3120C"/>
    <w:rsid w:val="16DE7DF3"/>
    <w:rsid w:val="1732777D"/>
    <w:rsid w:val="175A3EB4"/>
    <w:rsid w:val="17942BA8"/>
    <w:rsid w:val="17A00081"/>
    <w:rsid w:val="17A1211B"/>
    <w:rsid w:val="17AC7EF2"/>
    <w:rsid w:val="181C36C8"/>
    <w:rsid w:val="1830456F"/>
    <w:rsid w:val="18ED7A84"/>
    <w:rsid w:val="19042EAD"/>
    <w:rsid w:val="193463F1"/>
    <w:rsid w:val="193E0799"/>
    <w:rsid w:val="195B04F1"/>
    <w:rsid w:val="19655697"/>
    <w:rsid w:val="196A0064"/>
    <w:rsid w:val="199709F7"/>
    <w:rsid w:val="199944A6"/>
    <w:rsid w:val="199E6903"/>
    <w:rsid w:val="19BA1C75"/>
    <w:rsid w:val="19D72FED"/>
    <w:rsid w:val="19DD35A1"/>
    <w:rsid w:val="1A0F6516"/>
    <w:rsid w:val="1A332204"/>
    <w:rsid w:val="1A4347C6"/>
    <w:rsid w:val="1A4A0CC2"/>
    <w:rsid w:val="1A4D54A0"/>
    <w:rsid w:val="1A5A5165"/>
    <w:rsid w:val="1A990B6C"/>
    <w:rsid w:val="1AB23A71"/>
    <w:rsid w:val="1ABA2925"/>
    <w:rsid w:val="1AC63078"/>
    <w:rsid w:val="1B2E1226"/>
    <w:rsid w:val="1B752593"/>
    <w:rsid w:val="1B816F61"/>
    <w:rsid w:val="1BED4E7D"/>
    <w:rsid w:val="1C0020E8"/>
    <w:rsid w:val="1C0A1246"/>
    <w:rsid w:val="1C237A27"/>
    <w:rsid w:val="1C31559D"/>
    <w:rsid w:val="1C3241EB"/>
    <w:rsid w:val="1C444B9D"/>
    <w:rsid w:val="1C4F0374"/>
    <w:rsid w:val="1C5E5533"/>
    <w:rsid w:val="1C8E5197"/>
    <w:rsid w:val="1C9A2A0F"/>
    <w:rsid w:val="1CA4388D"/>
    <w:rsid w:val="1CAB15C9"/>
    <w:rsid w:val="1CE14A26"/>
    <w:rsid w:val="1CE476E6"/>
    <w:rsid w:val="1D1545CE"/>
    <w:rsid w:val="1D5521F6"/>
    <w:rsid w:val="1DB7314C"/>
    <w:rsid w:val="1DBB273F"/>
    <w:rsid w:val="1DCD060F"/>
    <w:rsid w:val="1DD81269"/>
    <w:rsid w:val="1E01086B"/>
    <w:rsid w:val="1E3D60CC"/>
    <w:rsid w:val="1E406F8C"/>
    <w:rsid w:val="1E845DEA"/>
    <w:rsid w:val="1F1FA109"/>
    <w:rsid w:val="1F3F1488"/>
    <w:rsid w:val="1F4A2E8F"/>
    <w:rsid w:val="1F766D35"/>
    <w:rsid w:val="1F915726"/>
    <w:rsid w:val="1F9966D3"/>
    <w:rsid w:val="1FA0658E"/>
    <w:rsid w:val="1FBF278C"/>
    <w:rsid w:val="20166850"/>
    <w:rsid w:val="20370353"/>
    <w:rsid w:val="20474C5B"/>
    <w:rsid w:val="205D447F"/>
    <w:rsid w:val="207B4905"/>
    <w:rsid w:val="20B147CB"/>
    <w:rsid w:val="20F07432"/>
    <w:rsid w:val="20F12E19"/>
    <w:rsid w:val="2136724D"/>
    <w:rsid w:val="214371F4"/>
    <w:rsid w:val="214474EF"/>
    <w:rsid w:val="21625308"/>
    <w:rsid w:val="21663408"/>
    <w:rsid w:val="21864056"/>
    <w:rsid w:val="21916ED9"/>
    <w:rsid w:val="21A25DC4"/>
    <w:rsid w:val="21B527DE"/>
    <w:rsid w:val="21E75E88"/>
    <w:rsid w:val="21FE4FAF"/>
    <w:rsid w:val="22486A69"/>
    <w:rsid w:val="226338A3"/>
    <w:rsid w:val="226B5F70"/>
    <w:rsid w:val="227776B2"/>
    <w:rsid w:val="22E03BBA"/>
    <w:rsid w:val="22E05E65"/>
    <w:rsid w:val="23330F5A"/>
    <w:rsid w:val="233A0AA7"/>
    <w:rsid w:val="234B6EA1"/>
    <w:rsid w:val="23553FCE"/>
    <w:rsid w:val="24241387"/>
    <w:rsid w:val="243F3E9B"/>
    <w:rsid w:val="24701082"/>
    <w:rsid w:val="24922E39"/>
    <w:rsid w:val="24B74530"/>
    <w:rsid w:val="24BE72A3"/>
    <w:rsid w:val="24D91964"/>
    <w:rsid w:val="24F9229C"/>
    <w:rsid w:val="24FF28BB"/>
    <w:rsid w:val="250C10D6"/>
    <w:rsid w:val="25103C45"/>
    <w:rsid w:val="25186BC6"/>
    <w:rsid w:val="253D487F"/>
    <w:rsid w:val="25413944"/>
    <w:rsid w:val="255078DB"/>
    <w:rsid w:val="25537BFE"/>
    <w:rsid w:val="25660416"/>
    <w:rsid w:val="257768C3"/>
    <w:rsid w:val="2583745E"/>
    <w:rsid w:val="259D45CC"/>
    <w:rsid w:val="25A26260"/>
    <w:rsid w:val="26111D82"/>
    <w:rsid w:val="264F486A"/>
    <w:rsid w:val="26630315"/>
    <w:rsid w:val="267000A3"/>
    <w:rsid w:val="26983290"/>
    <w:rsid w:val="269B0FAB"/>
    <w:rsid w:val="26B87682"/>
    <w:rsid w:val="26DD6558"/>
    <w:rsid w:val="26E06B97"/>
    <w:rsid w:val="26EE0F6E"/>
    <w:rsid w:val="27042C3A"/>
    <w:rsid w:val="27165388"/>
    <w:rsid w:val="272C21F3"/>
    <w:rsid w:val="273D05AF"/>
    <w:rsid w:val="27441A10"/>
    <w:rsid w:val="27A6495D"/>
    <w:rsid w:val="27F51899"/>
    <w:rsid w:val="27FD4BA0"/>
    <w:rsid w:val="280425A1"/>
    <w:rsid w:val="282B39E1"/>
    <w:rsid w:val="28300ECD"/>
    <w:rsid w:val="285965A1"/>
    <w:rsid w:val="28685E58"/>
    <w:rsid w:val="28B3315D"/>
    <w:rsid w:val="28B947AF"/>
    <w:rsid w:val="28EB6F3A"/>
    <w:rsid w:val="28F263D7"/>
    <w:rsid w:val="290751B4"/>
    <w:rsid w:val="29097D6B"/>
    <w:rsid w:val="29172DBC"/>
    <w:rsid w:val="29774D0D"/>
    <w:rsid w:val="297939AC"/>
    <w:rsid w:val="29EE6148"/>
    <w:rsid w:val="2A3C30FB"/>
    <w:rsid w:val="2A3C5105"/>
    <w:rsid w:val="2A4F5F55"/>
    <w:rsid w:val="2A7F2456"/>
    <w:rsid w:val="2A801147"/>
    <w:rsid w:val="2A9669CD"/>
    <w:rsid w:val="2A9E269F"/>
    <w:rsid w:val="2AA01F44"/>
    <w:rsid w:val="2AAB5DE7"/>
    <w:rsid w:val="2AD93D52"/>
    <w:rsid w:val="2AE0119A"/>
    <w:rsid w:val="2AE31A25"/>
    <w:rsid w:val="2B0F6376"/>
    <w:rsid w:val="2B2067D5"/>
    <w:rsid w:val="2B2C772A"/>
    <w:rsid w:val="2B5E4A9B"/>
    <w:rsid w:val="2B7164CC"/>
    <w:rsid w:val="2BB65EE6"/>
    <w:rsid w:val="2BCE4D6E"/>
    <w:rsid w:val="2BD92719"/>
    <w:rsid w:val="2BE45460"/>
    <w:rsid w:val="2BF12ADC"/>
    <w:rsid w:val="2C0B1233"/>
    <w:rsid w:val="2C1D25A1"/>
    <w:rsid w:val="2C372028"/>
    <w:rsid w:val="2C545184"/>
    <w:rsid w:val="2C611433"/>
    <w:rsid w:val="2C7A7A8D"/>
    <w:rsid w:val="2C9702DC"/>
    <w:rsid w:val="2CB050EA"/>
    <w:rsid w:val="2CDF423F"/>
    <w:rsid w:val="2CEE4AB3"/>
    <w:rsid w:val="2CFC0B7C"/>
    <w:rsid w:val="2D08102D"/>
    <w:rsid w:val="2D2F2CFF"/>
    <w:rsid w:val="2D524DEE"/>
    <w:rsid w:val="2D64259B"/>
    <w:rsid w:val="2D8950BC"/>
    <w:rsid w:val="2D9405AF"/>
    <w:rsid w:val="2DBB27E5"/>
    <w:rsid w:val="2DD60569"/>
    <w:rsid w:val="2DE51610"/>
    <w:rsid w:val="2DEB4AB1"/>
    <w:rsid w:val="2DEC1A74"/>
    <w:rsid w:val="2E143B0F"/>
    <w:rsid w:val="2E60513A"/>
    <w:rsid w:val="2E6B559E"/>
    <w:rsid w:val="2E6F45ED"/>
    <w:rsid w:val="2E786928"/>
    <w:rsid w:val="2E8B4E9B"/>
    <w:rsid w:val="2EA166C1"/>
    <w:rsid w:val="2EA25753"/>
    <w:rsid w:val="2EAD08EF"/>
    <w:rsid w:val="2EC72052"/>
    <w:rsid w:val="2ECF360C"/>
    <w:rsid w:val="2EEC350B"/>
    <w:rsid w:val="2EF20805"/>
    <w:rsid w:val="2F1C3757"/>
    <w:rsid w:val="2F393D1C"/>
    <w:rsid w:val="2F4F34F7"/>
    <w:rsid w:val="2FB614B6"/>
    <w:rsid w:val="2FD27E35"/>
    <w:rsid w:val="300C557A"/>
    <w:rsid w:val="30136C5B"/>
    <w:rsid w:val="30291BA3"/>
    <w:rsid w:val="30332B06"/>
    <w:rsid w:val="303F6F81"/>
    <w:rsid w:val="304A6C70"/>
    <w:rsid w:val="30991CC7"/>
    <w:rsid w:val="30B30D96"/>
    <w:rsid w:val="30C45B1C"/>
    <w:rsid w:val="30CB71E3"/>
    <w:rsid w:val="310A7307"/>
    <w:rsid w:val="31362F76"/>
    <w:rsid w:val="313818F4"/>
    <w:rsid w:val="318D6246"/>
    <w:rsid w:val="31980B93"/>
    <w:rsid w:val="31A97596"/>
    <w:rsid w:val="31B34BC4"/>
    <w:rsid w:val="31E83DC4"/>
    <w:rsid w:val="320D5349"/>
    <w:rsid w:val="326232A0"/>
    <w:rsid w:val="326A2A2B"/>
    <w:rsid w:val="327306FD"/>
    <w:rsid w:val="328624A5"/>
    <w:rsid w:val="32C24615"/>
    <w:rsid w:val="32D20AF4"/>
    <w:rsid w:val="32DF22A5"/>
    <w:rsid w:val="32EC1EA1"/>
    <w:rsid w:val="330E1357"/>
    <w:rsid w:val="3315507E"/>
    <w:rsid w:val="331B5F85"/>
    <w:rsid w:val="332350B4"/>
    <w:rsid w:val="33271199"/>
    <w:rsid w:val="33735405"/>
    <w:rsid w:val="338F274A"/>
    <w:rsid w:val="33A8074C"/>
    <w:rsid w:val="33C735A0"/>
    <w:rsid w:val="33DF11FD"/>
    <w:rsid w:val="33E86ECF"/>
    <w:rsid w:val="33F24A4C"/>
    <w:rsid w:val="3421153E"/>
    <w:rsid w:val="342124E6"/>
    <w:rsid w:val="34480C48"/>
    <w:rsid w:val="350B691C"/>
    <w:rsid w:val="35151992"/>
    <w:rsid w:val="352670DE"/>
    <w:rsid w:val="355F3BF3"/>
    <w:rsid w:val="35BB0691"/>
    <w:rsid w:val="35C37DC3"/>
    <w:rsid w:val="35CE6E2D"/>
    <w:rsid w:val="35DA3A24"/>
    <w:rsid w:val="363B7552"/>
    <w:rsid w:val="36555259"/>
    <w:rsid w:val="365C2077"/>
    <w:rsid w:val="368178E7"/>
    <w:rsid w:val="368A6D30"/>
    <w:rsid w:val="36965B9D"/>
    <w:rsid w:val="36BA1E1E"/>
    <w:rsid w:val="36BA3A89"/>
    <w:rsid w:val="36D12DAF"/>
    <w:rsid w:val="36D466C5"/>
    <w:rsid w:val="36FA437E"/>
    <w:rsid w:val="37031EB5"/>
    <w:rsid w:val="374A6C10"/>
    <w:rsid w:val="379D6311"/>
    <w:rsid w:val="37B02C8E"/>
    <w:rsid w:val="380A368A"/>
    <w:rsid w:val="381D6C87"/>
    <w:rsid w:val="38211E89"/>
    <w:rsid w:val="38392C84"/>
    <w:rsid w:val="383A69FC"/>
    <w:rsid w:val="38633130"/>
    <w:rsid w:val="38740160"/>
    <w:rsid w:val="387B4294"/>
    <w:rsid w:val="388C7CC2"/>
    <w:rsid w:val="389A0431"/>
    <w:rsid w:val="38AA3ECF"/>
    <w:rsid w:val="38BD1B07"/>
    <w:rsid w:val="38CC58A6"/>
    <w:rsid w:val="38D42BB0"/>
    <w:rsid w:val="38D4425E"/>
    <w:rsid w:val="38FA1622"/>
    <w:rsid w:val="38FC1CB1"/>
    <w:rsid w:val="391138BB"/>
    <w:rsid w:val="396E3F94"/>
    <w:rsid w:val="39902D77"/>
    <w:rsid w:val="39AD58C4"/>
    <w:rsid w:val="39AE77D7"/>
    <w:rsid w:val="39AF7CB0"/>
    <w:rsid w:val="39B50A30"/>
    <w:rsid w:val="39C24E08"/>
    <w:rsid w:val="39C953D2"/>
    <w:rsid w:val="39E00C26"/>
    <w:rsid w:val="3A243E65"/>
    <w:rsid w:val="3A302F52"/>
    <w:rsid w:val="3A60099C"/>
    <w:rsid w:val="3A731C3E"/>
    <w:rsid w:val="3A804E6D"/>
    <w:rsid w:val="3A863F72"/>
    <w:rsid w:val="3A9935D7"/>
    <w:rsid w:val="3AEF3E7A"/>
    <w:rsid w:val="3AF50731"/>
    <w:rsid w:val="3B042005"/>
    <w:rsid w:val="3B145811"/>
    <w:rsid w:val="3B247C1B"/>
    <w:rsid w:val="3B2B51B8"/>
    <w:rsid w:val="3B3430C1"/>
    <w:rsid w:val="3B3B26B4"/>
    <w:rsid w:val="3B4C0F20"/>
    <w:rsid w:val="3B6F4C0F"/>
    <w:rsid w:val="3B7D150A"/>
    <w:rsid w:val="3B824942"/>
    <w:rsid w:val="3B90142B"/>
    <w:rsid w:val="3BCA0015"/>
    <w:rsid w:val="3BD10A0D"/>
    <w:rsid w:val="3C2E730F"/>
    <w:rsid w:val="3C3919B2"/>
    <w:rsid w:val="3C3E2F5F"/>
    <w:rsid w:val="3C4E68F2"/>
    <w:rsid w:val="3C5C33E5"/>
    <w:rsid w:val="3C784EC1"/>
    <w:rsid w:val="3C841D58"/>
    <w:rsid w:val="3C917532"/>
    <w:rsid w:val="3C9C30B9"/>
    <w:rsid w:val="3CEC4C01"/>
    <w:rsid w:val="3CF10D87"/>
    <w:rsid w:val="3D121CF5"/>
    <w:rsid w:val="3D387D18"/>
    <w:rsid w:val="3D3B124C"/>
    <w:rsid w:val="3D521C65"/>
    <w:rsid w:val="3D955418"/>
    <w:rsid w:val="3D9F66AB"/>
    <w:rsid w:val="3DA54918"/>
    <w:rsid w:val="3DC05072"/>
    <w:rsid w:val="3DC06494"/>
    <w:rsid w:val="3DD23377"/>
    <w:rsid w:val="3DD41F12"/>
    <w:rsid w:val="3DD6576A"/>
    <w:rsid w:val="3DE82198"/>
    <w:rsid w:val="3E2B306F"/>
    <w:rsid w:val="3E3A1504"/>
    <w:rsid w:val="3E500D27"/>
    <w:rsid w:val="3E5E3444"/>
    <w:rsid w:val="3E61081F"/>
    <w:rsid w:val="3E6B3DB3"/>
    <w:rsid w:val="3E6D1292"/>
    <w:rsid w:val="3EC5585E"/>
    <w:rsid w:val="3EDE27D7"/>
    <w:rsid w:val="3F585471"/>
    <w:rsid w:val="3F6B3692"/>
    <w:rsid w:val="3F76693F"/>
    <w:rsid w:val="3F8E08E6"/>
    <w:rsid w:val="3F9556F7"/>
    <w:rsid w:val="3FB452E6"/>
    <w:rsid w:val="3FB83028"/>
    <w:rsid w:val="3FDC4CD2"/>
    <w:rsid w:val="40073668"/>
    <w:rsid w:val="40096745"/>
    <w:rsid w:val="405E3BCF"/>
    <w:rsid w:val="40630396"/>
    <w:rsid w:val="406334F2"/>
    <w:rsid w:val="40795730"/>
    <w:rsid w:val="40A8055B"/>
    <w:rsid w:val="40B035B8"/>
    <w:rsid w:val="40C33A32"/>
    <w:rsid w:val="40C9364D"/>
    <w:rsid w:val="40CD2C3F"/>
    <w:rsid w:val="40D519B8"/>
    <w:rsid w:val="40FB141E"/>
    <w:rsid w:val="412A3AB2"/>
    <w:rsid w:val="41406D6F"/>
    <w:rsid w:val="414925C8"/>
    <w:rsid w:val="41656740"/>
    <w:rsid w:val="416E2BAD"/>
    <w:rsid w:val="4182744A"/>
    <w:rsid w:val="41836EE7"/>
    <w:rsid w:val="418F600A"/>
    <w:rsid w:val="41AC1903"/>
    <w:rsid w:val="41AE45DE"/>
    <w:rsid w:val="41D57EC1"/>
    <w:rsid w:val="41E75EEC"/>
    <w:rsid w:val="41F12821"/>
    <w:rsid w:val="4212359F"/>
    <w:rsid w:val="42246753"/>
    <w:rsid w:val="4227217C"/>
    <w:rsid w:val="42310E70"/>
    <w:rsid w:val="42B5384F"/>
    <w:rsid w:val="42C534C0"/>
    <w:rsid w:val="42D07EC3"/>
    <w:rsid w:val="42E4705F"/>
    <w:rsid w:val="430640AA"/>
    <w:rsid w:val="430D5439"/>
    <w:rsid w:val="432804C5"/>
    <w:rsid w:val="43605CCC"/>
    <w:rsid w:val="43727CFB"/>
    <w:rsid w:val="43A833B4"/>
    <w:rsid w:val="43BA05EB"/>
    <w:rsid w:val="43D63A7D"/>
    <w:rsid w:val="43FB34E3"/>
    <w:rsid w:val="441F3347"/>
    <w:rsid w:val="44215FA9"/>
    <w:rsid w:val="44265E16"/>
    <w:rsid w:val="443C7F5F"/>
    <w:rsid w:val="445800AD"/>
    <w:rsid w:val="44627714"/>
    <w:rsid w:val="447A7A51"/>
    <w:rsid w:val="449228F7"/>
    <w:rsid w:val="449A71A0"/>
    <w:rsid w:val="44DC3315"/>
    <w:rsid w:val="44F06DC0"/>
    <w:rsid w:val="4505732B"/>
    <w:rsid w:val="451D3446"/>
    <w:rsid w:val="452C7897"/>
    <w:rsid w:val="45392D94"/>
    <w:rsid w:val="45935CF2"/>
    <w:rsid w:val="45AF27D7"/>
    <w:rsid w:val="45B1127B"/>
    <w:rsid w:val="45B63B66"/>
    <w:rsid w:val="45C77069"/>
    <w:rsid w:val="45EA254E"/>
    <w:rsid w:val="464C0EF1"/>
    <w:rsid w:val="4659434D"/>
    <w:rsid w:val="46715CDF"/>
    <w:rsid w:val="46B81B60"/>
    <w:rsid w:val="46CC2C55"/>
    <w:rsid w:val="46DF780A"/>
    <w:rsid w:val="46EA4614"/>
    <w:rsid w:val="46FA6535"/>
    <w:rsid w:val="472745EF"/>
    <w:rsid w:val="47321ED1"/>
    <w:rsid w:val="47613A8A"/>
    <w:rsid w:val="477E4B57"/>
    <w:rsid w:val="47B20490"/>
    <w:rsid w:val="47B34548"/>
    <w:rsid w:val="47B63BDE"/>
    <w:rsid w:val="47D33B20"/>
    <w:rsid w:val="47D615B5"/>
    <w:rsid w:val="47F234EA"/>
    <w:rsid w:val="47FA4363"/>
    <w:rsid w:val="48084421"/>
    <w:rsid w:val="48424E47"/>
    <w:rsid w:val="486C49B0"/>
    <w:rsid w:val="48836411"/>
    <w:rsid w:val="4884619D"/>
    <w:rsid w:val="48CA6394"/>
    <w:rsid w:val="48CE566A"/>
    <w:rsid w:val="48D83181"/>
    <w:rsid w:val="48E052A8"/>
    <w:rsid w:val="491D2230"/>
    <w:rsid w:val="49416BFC"/>
    <w:rsid w:val="49551C16"/>
    <w:rsid w:val="497B7CB3"/>
    <w:rsid w:val="49830203"/>
    <w:rsid w:val="49845D29"/>
    <w:rsid w:val="49877552"/>
    <w:rsid w:val="49A50D02"/>
    <w:rsid w:val="49A632F3"/>
    <w:rsid w:val="49AD5280"/>
    <w:rsid w:val="49D46CB0"/>
    <w:rsid w:val="49EB5DA8"/>
    <w:rsid w:val="4A0550BC"/>
    <w:rsid w:val="4A4F27DB"/>
    <w:rsid w:val="4A792ED0"/>
    <w:rsid w:val="4AAE0F5E"/>
    <w:rsid w:val="4ABC7A01"/>
    <w:rsid w:val="4ABF170F"/>
    <w:rsid w:val="4AC960E9"/>
    <w:rsid w:val="4AF64A04"/>
    <w:rsid w:val="4B08619A"/>
    <w:rsid w:val="4B2D12E0"/>
    <w:rsid w:val="4B413C02"/>
    <w:rsid w:val="4B466488"/>
    <w:rsid w:val="4B906C3C"/>
    <w:rsid w:val="4B971D44"/>
    <w:rsid w:val="4BA45DF7"/>
    <w:rsid w:val="4BA51A78"/>
    <w:rsid w:val="4BEA27BB"/>
    <w:rsid w:val="4BEB6B31"/>
    <w:rsid w:val="4BEF537B"/>
    <w:rsid w:val="4C143C11"/>
    <w:rsid w:val="4C3F60ED"/>
    <w:rsid w:val="4C6F5AD6"/>
    <w:rsid w:val="4C8147A2"/>
    <w:rsid w:val="4C9B3AB5"/>
    <w:rsid w:val="4CAB64B4"/>
    <w:rsid w:val="4CB46925"/>
    <w:rsid w:val="4CCE79E7"/>
    <w:rsid w:val="4CEF795D"/>
    <w:rsid w:val="4D720CBA"/>
    <w:rsid w:val="4D834C75"/>
    <w:rsid w:val="4D94024E"/>
    <w:rsid w:val="4D987FF5"/>
    <w:rsid w:val="4DB52955"/>
    <w:rsid w:val="4DD36371"/>
    <w:rsid w:val="4E2B70BB"/>
    <w:rsid w:val="4E4361B3"/>
    <w:rsid w:val="4E4D40AD"/>
    <w:rsid w:val="4E790592"/>
    <w:rsid w:val="4E8A47E6"/>
    <w:rsid w:val="4E8C5DAC"/>
    <w:rsid w:val="4E8C71ED"/>
    <w:rsid w:val="4E9B7D9D"/>
    <w:rsid w:val="4EAD7AD0"/>
    <w:rsid w:val="4ECA0682"/>
    <w:rsid w:val="4ECB44BE"/>
    <w:rsid w:val="4EF0117A"/>
    <w:rsid w:val="4F067826"/>
    <w:rsid w:val="4F38383D"/>
    <w:rsid w:val="4F677DA3"/>
    <w:rsid w:val="4FBE2271"/>
    <w:rsid w:val="4FC74A7D"/>
    <w:rsid w:val="4FD00DE6"/>
    <w:rsid w:val="4FDA0F8D"/>
    <w:rsid w:val="502C7FBC"/>
    <w:rsid w:val="503000EC"/>
    <w:rsid w:val="503A3817"/>
    <w:rsid w:val="50540821"/>
    <w:rsid w:val="5054476F"/>
    <w:rsid w:val="5057504E"/>
    <w:rsid w:val="506F7733"/>
    <w:rsid w:val="50827D7F"/>
    <w:rsid w:val="508E5E86"/>
    <w:rsid w:val="50982285"/>
    <w:rsid w:val="50A77EFE"/>
    <w:rsid w:val="50BF48B5"/>
    <w:rsid w:val="51235989"/>
    <w:rsid w:val="512D0135"/>
    <w:rsid w:val="51360251"/>
    <w:rsid w:val="514E7348"/>
    <w:rsid w:val="51D672B6"/>
    <w:rsid w:val="51E227F8"/>
    <w:rsid w:val="51E657D3"/>
    <w:rsid w:val="51E942BF"/>
    <w:rsid w:val="51F872B4"/>
    <w:rsid w:val="51FB3E14"/>
    <w:rsid w:val="51FF137E"/>
    <w:rsid w:val="52071443"/>
    <w:rsid w:val="52230813"/>
    <w:rsid w:val="5224663F"/>
    <w:rsid w:val="522B4FC6"/>
    <w:rsid w:val="523173E9"/>
    <w:rsid w:val="52483D01"/>
    <w:rsid w:val="524A595D"/>
    <w:rsid w:val="525B1764"/>
    <w:rsid w:val="525D3808"/>
    <w:rsid w:val="525E7A5F"/>
    <w:rsid w:val="528C5FF0"/>
    <w:rsid w:val="52D27B05"/>
    <w:rsid w:val="52D92ACB"/>
    <w:rsid w:val="531719BC"/>
    <w:rsid w:val="5346672E"/>
    <w:rsid w:val="537E350E"/>
    <w:rsid w:val="538C61BD"/>
    <w:rsid w:val="53A63785"/>
    <w:rsid w:val="53B4776F"/>
    <w:rsid w:val="53BA0CC5"/>
    <w:rsid w:val="53CC67DD"/>
    <w:rsid w:val="53D926F3"/>
    <w:rsid w:val="541157C3"/>
    <w:rsid w:val="541A71CC"/>
    <w:rsid w:val="542A709D"/>
    <w:rsid w:val="54534C76"/>
    <w:rsid w:val="548255D6"/>
    <w:rsid w:val="549A5644"/>
    <w:rsid w:val="54A43723"/>
    <w:rsid w:val="54AD0607"/>
    <w:rsid w:val="54D00C3F"/>
    <w:rsid w:val="551B5793"/>
    <w:rsid w:val="55216B22"/>
    <w:rsid w:val="55274C7B"/>
    <w:rsid w:val="555649EC"/>
    <w:rsid w:val="556A3D47"/>
    <w:rsid w:val="557E1660"/>
    <w:rsid w:val="559B0682"/>
    <w:rsid w:val="55A7171D"/>
    <w:rsid w:val="55B55BE8"/>
    <w:rsid w:val="561F610A"/>
    <w:rsid w:val="5637484F"/>
    <w:rsid w:val="56614C60"/>
    <w:rsid w:val="56C41FFC"/>
    <w:rsid w:val="56F6480F"/>
    <w:rsid w:val="56FC15F5"/>
    <w:rsid w:val="57087F99"/>
    <w:rsid w:val="57176FEB"/>
    <w:rsid w:val="5718669A"/>
    <w:rsid w:val="574B4F73"/>
    <w:rsid w:val="57521214"/>
    <w:rsid w:val="576143E1"/>
    <w:rsid w:val="57AE72A5"/>
    <w:rsid w:val="57D95F1F"/>
    <w:rsid w:val="57E77592"/>
    <w:rsid w:val="58112195"/>
    <w:rsid w:val="581B0D32"/>
    <w:rsid w:val="58216F0B"/>
    <w:rsid w:val="584B11CD"/>
    <w:rsid w:val="586048F0"/>
    <w:rsid w:val="58951D01"/>
    <w:rsid w:val="58FD56C7"/>
    <w:rsid w:val="59751C65"/>
    <w:rsid w:val="598C5A03"/>
    <w:rsid w:val="599211F9"/>
    <w:rsid w:val="59965D30"/>
    <w:rsid w:val="599C6A5E"/>
    <w:rsid w:val="5A5F2D06"/>
    <w:rsid w:val="5A9C7376"/>
    <w:rsid w:val="5AA075D5"/>
    <w:rsid w:val="5AAC3332"/>
    <w:rsid w:val="5ADE2A67"/>
    <w:rsid w:val="5AED6D33"/>
    <w:rsid w:val="5AEF0CBE"/>
    <w:rsid w:val="5AFC4E9F"/>
    <w:rsid w:val="5AFE1DDF"/>
    <w:rsid w:val="5B18551E"/>
    <w:rsid w:val="5B551512"/>
    <w:rsid w:val="5B5F2152"/>
    <w:rsid w:val="5B8B59E3"/>
    <w:rsid w:val="5B97302A"/>
    <w:rsid w:val="5B9F0927"/>
    <w:rsid w:val="5BAA0C46"/>
    <w:rsid w:val="5BBB1A7E"/>
    <w:rsid w:val="5BE44E34"/>
    <w:rsid w:val="5BE66F57"/>
    <w:rsid w:val="5BF1724E"/>
    <w:rsid w:val="5C0276AD"/>
    <w:rsid w:val="5C1E5B4F"/>
    <w:rsid w:val="5C34538D"/>
    <w:rsid w:val="5C4C0932"/>
    <w:rsid w:val="5C5B2DD4"/>
    <w:rsid w:val="5C6A5252"/>
    <w:rsid w:val="5CA0080E"/>
    <w:rsid w:val="5CA67F0E"/>
    <w:rsid w:val="5CB70DE5"/>
    <w:rsid w:val="5CCE7744"/>
    <w:rsid w:val="5CD65A6D"/>
    <w:rsid w:val="5CD92B33"/>
    <w:rsid w:val="5CE045A0"/>
    <w:rsid w:val="5CF35A61"/>
    <w:rsid w:val="5D270A6A"/>
    <w:rsid w:val="5D296EBB"/>
    <w:rsid w:val="5D431D2B"/>
    <w:rsid w:val="5D446E72"/>
    <w:rsid w:val="5D5E4DB7"/>
    <w:rsid w:val="5D6567A1"/>
    <w:rsid w:val="5D7E2D63"/>
    <w:rsid w:val="5DEA21A7"/>
    <w:rsid w:val="5DED613B"/>
    <w:rsid w:val="5E1345A6"/>
    <w:rsid w:val="5E145476"/>
    <w:rsid w:val="5E1F5EBB"/>
    <w:rsid w:val="5E2603C6"/>
    <w:rsid w:val="5E6C38A7"/>
    <w:rsid w:val="5EA7453C"/>
    <w:rsid w:val="5EBB0DA4"/>
    <w:rsid w:val="5ECB6E94"/>
    <w:rsid w:val="5ED35331"/>
    <w:rsid w:val="5ED846F5"/>
    <w:rsid w:val="5EED4009"/>
    <w:rsid w:val="5F021772"/>
    <w:rsid w:val="5F30722F"/>
    <w:rsid w:val="5F3C4C84"/>
    <w:rsid w:val="5F3F29C6"/>
    <w:rsid w:val="5F5D7242"/>
    <w:rsid w:val="5F7801DD"/>
    <w:rsid w:val="5F912710"/>
    <w:rsid w:val="5F93061C"/>
    <w:rsid w:val="5F9E593F"/>
    <w:rsid w:val="5FA665A1"/>
    <w:rsid w:val="5FAF7285"/>
    <w:rsid w:val="5FB27A3B"/>
    <w:rsid w:val="5FB773B9"/>
    <w:rsid w:val="5FC44C79"/>
    <w:rsid w:val="5FD41360"/>
    <w:rsid w:val="5FD517CA"/>
    <w:rsid w:val="5FE570CA"/>
    <w:rsid w:val="5FE7029D"/>
    <w:rsid w:val="5FF612D7"/>
    <w:rsid w:val="60074C26"/>
    <w:rsid w:val="60275934"/>
    <w:rsid w:val="60342C29"/>
    <w:rsid w:val="603C74D7"/>
    <w:rsid w:val="60477D84"/>
    <w:rsid w:val="60501489"/>
    <w:rsid w:val="606C77EB"/>
    <w:rsid w:val="607644CB"/>
    <w:rsid w:val="60874625"/>
    <w:rsid w:val="60927062"/>
    <w:rsid w:val="60CC2038"/>
    <w:rsid w:val="60E47C7F"/>
    <w:rsid w:val="610F3942"/>
    <w:rsid w:val="6110461A"/>
    <w:rsid w:val="611B3604"/>
    <w:rsid w:val="613C73A3"/>
    <w:rsid w:val="61601F4C"/>
    <w:rsid w:val="6175423B"/>
    <w:rsid w:val="617C2BE7"/>
    <w:rsid w:val="61C6117D"/>
    <w:rsid w:val="61E82848"/>
    <w:rsid w:val="61F3275E"/>
    <w:rsid w:val="620123FA"/>
    <w:rsid w:val="62055A75"/>
    <w:rsid w:val="62136241"/>
    <w:rsid w:val="62477005"/>
    <w:rsid w:val="62751389"/>
    <w:rsid w:val="62C90F25"/>
    <w:rsid w:val="62DB0C58"/>
    <w:rsid w:val="62E832BC"/>
    <w:rsid w:val="62EC6826"/>
    <w:rsid w:val="63021D41"/>
    <w:rsid w:val="634D7596"/>
    <w:rsid w:val="63536A40"/>
    <w:rsid w:val="63586547"/>
    <w:rsid w:val="635B0B72"/>
    <w:rsid w:val="63757946"/>
    <w:rsid w:val="63892462"/>
    <w:rsid w:val="63921CC6"/>
    <w:rsid w:val="63B75342"/>
    <w:rsid w:val="63D519FA"/>
    <w:rsid w:val="63E85179"/>
    <w:rsid w:val="64287ECD"/>
    <w:rsid w:val="644A7E43"/>
    <w:rsid w:val="6462603B"/>
    <w:rsid w:val="64A84B6A"/>
    <w:rsid w:val="64CE37B2"/>
    <w:rsid w:val="64D22CE6"/>
    <w:rsid w:val="65254D57"/>
    <w:rsid w:val="654C3747"/>
    <w:rsid w:val="656C3DE9"/>
    <w:rsid w:val="659A2704"/>
    <w:rsid w:val="65B01973"/>
    <w:rsid w:val="65E16585"/>
    <w:rsid w:val="65F14FDB"/>
    <w:rsid w:val="660B4B1B"/>
    <w:rsid w:val="665772A7"/>
    <w:rsid w:val="668A075D"/>
    <w:rsid w:val="668E15B5"/>
    <w:rsid w:val="66901C8E"/>
    <w:rsid w:val="66A80E51"/>
    <w:rsid w:val="66D73C13"/>
    <w:rsid w:val="67037D22"/>
    <w:rsid w:val="672662CA"/>
    <w:rsid w:val="67310E46"/>
    <w:rsid w:val="673213DD"/>
    <w:rsid w:val="676924E6"/>
    <w:rsid w:val="67B6134C"/>
    <w:rsid w:val="67E57255"/>
    <w:rsid w:val="6828189F"/>
    <w:rsid w:val="683F7F8F"/>
    <w:rsid w:val="684E77D6"/>
    <w:rsid w:val="68503C5F"/>
    <w:rsid w:val="685A261F"/>
    <w:rsid w:val="685C7FAA"/>
    <w:rsid w:val="686A6FFD"/>
    <w:rsid w:val="68923B67"/>
    <w:rsid w:val="68D909BE"/>
    <w:rsid w:val="69055E04"/>
    <w:rsid w:val="6910780F"/>
    <w:rsid w:val="69126A56"/>
    <w:rsid w:val="69387C83"/>
    <w:rsid w:val="693966D8"/>
    <w:rsid w:val="693A6327"/>
    <w:rsid w:val="696C6547"/>
    <w:rsid w:val="69875CFA"/>
    <w:rsid w:val="699A4104"/>
    <w:rsid w:val="699D1FE1"/>
    <w:rsid w:val="69B845BD"/>
    <w:rsid w:val="69DD2ECD"/>
    <w:rsid w:val="69EE4513"/>
    <w:rsid w:val="6A0127E8"/>
    <w:rsid w:val="6A0E36C1"/>
    <w:rsid w:val="6A1916CD"/>
    <w:rsid w:val="6A2E78BF"/>
    <w:rsid w:val="6A3D33AB"/>
    <w:rsid w:val="6A3F78B1"/>
    <w:rsid w:val="6A53447E"/>
    <w:rsid w:val="6A641F0D"/>
    <w:rsid w:val="6A8219BA"/>
    <w:rsid w:val="6A8804BD"/>
    <w:rsid w:val="6ABA73A5"/>
    <w:rsid w:val="6ADA6B38"/>
    <w:rsid w:val="6AE04256"/>
    <w:rsid w:val="6AEF725B"/>
    <w:rsid w:val="6B204C86"/>
    <w:rsid w:val="6B506FBE"/>
    <w:rsid w:val="6B8E4AB9"/>
    <w:rsid w:val="6B9C07B8"/>
    <w:rsid w:val="6BB97725"/>
    <w:rsid w:val="6BCE61E8"/>
    <w:rsid w:val="6BDFAB0A"/>
    <w:rsid w:val="6BFC4233"/>
    <w:rsid w:val="6C0134DD"/>
    <w:rsid w:val="6C25467B"/>
    <w:rsid w:val="6C3A3E6E"/>
    <w:rsid w:val="6C703B94"/>
    <w:rsid w:val="6C996646"/>
    <w:rsid w:val="6C9F3448"/>
    <w:rsid w:val="6CB22A29"/>
    <w:rsid w:val="6CB71DEE"/>
    <w:rsid w:val="6CC45FBE"/>
    <w:rsid w:val="6CF03552"/>
    <w:rsid w:val="6D0232BB"/>
    <w:rsid w:val="6D5939A1"/>
    <w:rsid w:val="6D6A3304"/>
    <w:rsid w:val="6D8819DC"/>
    <w:rsid w:val="6D8D012D"/>
    <w:rsid w:val="6DB36A59"/>
    <w:rsid w:val="6DD14E76"/>
    <w:rsid w:val="6DDE3F28"/>
    <w:rsid w:val="6DF20BCA"/>
    <w:rsid w:val="6E530D46"/>
    <w:rsid w:val="6E6957BE"/>
    <w:rsid w:val="6E7A1325"/>
    <w:rsid w:val="6E8D6DD6"/>
    <w:rsid w:val="6E906D9A"/>
    <w:rsid w:val="6E922876"/>
    <w:rsid w:val="6EAB7730"/>
    <w:rsid w:val="6EB32A89"/>
    <w:rsid w:val="6EBB3A4D"/>
    <w:rsid w:val="6EEA3447"/>
    <w:rsid w:val="6F250095"/>
    <w:rsid w:val="6F257A91"/>
    <w:rsid w:val="6F3631A1"/>
    <w:rsid w:val="6F4B0F78"/>
    <w:rsid w:val="6F7FE37A"/>
    <w:rsid w:val="6FC8711C"/>
    <w:rsid w:val="6FE1382A"/>
    <w:rsid w:val="6FE7054D"/>
    <w:rsid w:val="6FE969BF"/>
    <w:rsid w:val="6FEF189F"/>
    <w:rsid w:val="702B1E5E"/>
    <w:rsid w:val="707C622C"/>
    <w:rsid w:val="709954EE"/>
    <w:rsid w:val="70AA65BB"/>
    <w:rsid w:val="70B42B45"/>
    <w:rsid w:val="70C3128F"/>
    <w:rsid w:val="70FB7041"/>
    <w:rsid w:val="71130EFB"/>
    <w:rsid w:val="71B049BF"/>
    <w:rsid w:val="71BC1C54"/>
    <w:rsid w:val="71BC7481"/>
    <w:rsid w:val="71E4568E"/>
    <w:rsid w:val="71FB277D"/>
    <w:rsid w:val="72174304"/>
    <w:rsid w:val="72190E55"/>
    <w:rsid w:val="72212AAA"/>
    <w:rsid w:val="72247F25"/>
    <w:rsid w:val="72273572"/>
    <w:rsid w:val="72477770"/>
    <w:rsid w:val="72936E59"/>
    <w:rsid w:val="72C35869"/>
    <w:rsid w:val="7316586B"/>
    <w:rsid w:val="73280758"/>
    <w:rsid w:val="73487C44"/>
    <w:rsid w:val="73773F76"/>
    <w:rsid w:val="73AD3F4B"/>
    <w:rsid w:val="73C31078"/>
    <w:rsid w:val="73D149EF"/>
    <w:rsid w:val="73F21394"/>
    <w:rsid w:val="73F6235F"/>
    <w:rsid w:val="746551E1"/>
    <w:rsid w:val="74817FF6"/>
    <w:rsid w:val="74AC4202"/>
    <w:rsid w:val="74C41977"/>
    <w:rsid w:val="74D01616"/>
    <w:rsid w:val="74D70DF7"/>
    <w:rsid w:val="74DE4FB2"/>
    <w:rsid w:val="74EB3FA6"/>
    <w:rsid w:val="74EE0377"/>
    <w:rsid w:val="750C56AD"/>
    <w:rsid w:val="75404111"/>
    <w:rsid w:val="757315C2"/>
    <w:rsid w:val="75731C89"/>
    <w:rsid w:val="75840CDB"/>
    <w:rsid w:val="75C61BD7"/>
    <w:rsid w:val="75CA7AAF"/>
    <w:rsid w:val="75CF2BD1"/>
    <w:rsid w:val="75D86EA0"/>
    <w:rsid w:val="75DC6B59"/>
    <w:rsid w:val="7610256F"/>
    <w:rsid w:val="762A20B4"/>
    <w:rsid w:val="76C24506"/>
    <w:rsid w:val="76C75323"/>
    <w:rsid w:val="76ED5EB6"/>
    <w:rsid w:val="771C36BA"/>
    <w:rsid w:val="773FE678"/>
    <w:rsid w:val="77444D05"/>
    <w:rsid w:val="774A3F76"/>
    <w:rsid w:val="77B51620"/>
    <w:rsid w:val="77F47C37"/>
    <w:rsid w:val="78072C51"/>
    <w:rsid w:val="780F3479"/>
    <w:rsid w:val="78300CA6"/>
    <w:rsid w:val="78322C70"/>
    <w:rsid w:val="7860333A"/>
    <w:rsid w:val="788D31FB"/>
    <w:rsid w:val="789A5C0B"/>
    <w:rsid w:val="789F3DA6"/>
    <w:rsid w:val="78A52377"/>
    <w:rsid w:val="78A720A7"/>
    <w:rsid w:val="78BA30FC"/>
    <w:rsid w:val="78ED276C"/>
    <w:rsid w:val="78FB35DD"/>
    <w:rsid w:val="791B2483"/>
    <w:rsid w:val="7929584B"/>
    <w:rsid w:val="793A57D7"/>
    <w:rsid w:val="79492020"/>
    <w:rsid w:val="795F5CE7"/>
    <w:rsid w:val="7963154D"/>
    <w:rsid w:val="79AA4693"/>
    <w:rsid w:val="79D030E6"/>
    <w:rsid w:val="79FF1772"/>
    <w:rsid w:val="7A08012D"/>
    <w:rsid w:val="7A947711"/>
    <w:rsid w:val="7AA250E3"/>
    <w:rsid w:val="7AF37FDD"/>
    <w:rsid w:val="7B5B7497"/>
    <w:rsid w:val="7B7B05F3"/>
    <w:rsid w:val="7BF070CA"/>
    <w:rsid w:val="7C112AF8"/>
    <w:rsid w:val="7C184FB7"/>
    <w:rsid w:val="7C3D78E2"/>
    <w:rsid w:val="7C653AB3"/>
    <w:rsid w:val="7C7F3FAA"/>
    <w:rsid w:val="7C832CED"/>
    <w:rsid w:val="7C8F459A"/>
    <w:rsid w:val="7C910466"/>
    <w:rsid w:val="7C97D028"/>
    <w:rsid w:val="7CC239D9"/>
    <w:rsid w:val="7CD5042A"/>
    <w:rsid w:val="7CFB22F6"/>
    <w:rsid w:val="7D042CCF"/>
    <w:rsid w:val="7D0B583E"/>
    <w:rsid w:val="7D24527D"/>
    <w:rsid w:val="7D2708CA"/>
    <w:rsid w:val="7D3D0BFB"/>
    <w:rsid w:val="7D3D1538"/>
    <w:rsid w:val="7D514CC4"/>
    <w:rsid w:val="7D537F01"/>
    <w:rsid w:val="7D614864"/>
    <w:rsid w:val="7D7C31C0"/>
    <w:rsid w:val="7D910439"/>
    <w:rsid w:val="7D9605EE"/>
    <w:rsid w:val="7DBF0B02"/>
    <w:rsid w:val="7DD50157"/>
    <w:rsid w:val="7DE06CCB"/>
    <w:rsid w:val="7DF764EE"/>
    <w:rsid w:val="7E155919"/>
    <w:rsid w:val="7E192908"/>
    <w:rsid w:val="7E4378B3"/>
    <w:rsid w:val="7E4876F1"/>
    <w:rsid w:val="7E4F56A7"/>
    <w:rsid w:val="7E5D029C"/>
    <w:rsid w:val="7E713B7F"/>
    <w:rsid w:val="7EB20667"/>
    <w:rsid w:val="7EC81C39"/>
    <w:rsid w:val="7ECD54A1"/>
    <w:rsid w:val="7F0C4C8F"/>
    <w:rsid w:val="7F27742A"/>
    <w:rsid w:val="7F382028"/>
    <w:rsid w:val="7F532AE0"/>
    <w:rsid w:val="7F657487"/>
    <w:rsid w:val="7FB35A70"/>
    <w:rsid w:val="7FC06066"/>
    <w:rsid w:val="7FC20D7E"/>
    <w:rsid w:val="7FDF8BFB"/>
    <w:rsid w:val="7FFA3A5E"/>
    <w:rsid w:val="BEDB8C67"/>
    <w:rsid w:val="C5FA53BE"/>
    <w:rsid w:val="DBFF5702"/>
    <w:rsid w:val="DF7AA2D7"/>
    <w:rsid w:val="E9256F1E"/>
    <w:rsid w:val="FDB961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78"/>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9"/>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5"/>
    <w:qFormat/>
    <w:uiPriority w:val="0"/>
    <w:pPr>
      <w:adjustRightInd w:val="0"/>
      <w:spacing w:line="360" w:lineRule="atLeast"/>
      <w:jc w:val="left"/>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link w:val="86"/>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87"/>
    <w:qFormat/>
    <w:uiPriority w:val="0"/>
  </w:style>
  <w:style w:type="paragraph" w:styleId="33">
    <w:name w:val="Body Text Indent 2"/>
    <w:basedOn w:val="34"/>
    <w:link w:val="88"/>
    <w:qFormat/>
    <w:uiPriority w:val="0"/>
    <w:pPr>
      <w:snapToGrid w:val="0"/>
      <w:spacing w:line="560" w:lineRule="atLeast"/>
      <w:ind w:firstLine="540"/>
    </w:pPr>
  </w:style>
  <w:style w:type="paragraph" w:customStyle="1" w:styleId="34">
    <w:name w:val="正文1"/>
    <w:basedOn w:val="1"/>
    <w:next w:val="1"/>
    <w:qFormat/>
    <w:uiPriority w:val="0"/>
    <w:pPr>
      <w:spacing w:line="300" w:lineRule="auto"/>
      <w:ind w:firstLine="200" w:firstLineChars="200"/>
    </w:pPr>
    <w:rPr>
      <w:sz w:val="24"/>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envelope return"/>
    <w:basedOn w:val="1"/>
    <w:qFormat/>
    <w:uiPriority w:val="0"/>
    <w:pPr>
      <w:snapToGrid w:val="0"/>
    </w:pPr>
    <w:rPr>
      <w:rFonts w:ascii="Arial" w:hAnsi="Arial" w:eastAsia="宋体" w:cs="Arial"/>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List"/>
    <w:basedOn w:val="1"/>
    <w:semiHidden/>
    <w:qFormat/>
    <w:uiPriority w:val="0"/>
    <w:pPr>
      <w:ind w:left="200" w:hanging="200" w:hangingChars="200"/>
    </w:pPr>
  </w:style>
  <w:style w:type="paragraph" w:styleId="43">
    <w:name w:val="footnote text"/>
    <w:basedOn w:val="1"/>
    <w:link w:val="89"/>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kern w:val="28"/>
      <w:sz w:val="36"/>
      <w:lang w:eastAsia="en-US"/>
    </w:rPr>
  </w:style>
  <w:style w:type="paragraph" w:styleId="57">
    <w:name w:val="annotation subject"/>
    <w:basedOn w:val="20"/>
    <w:next w:val="20"/>
    <w:link w:val="90"/>
    <w:qFormat/>
    <w:uiPriority w:val="0"/>
    <w:pPr>
      <w:adjustRightInd/>
      <w:spacing w:line="240" w:lineRule="auto"/>
    </w:pPr>
  </w:style>
  <w:style w:type="paragraph" w:styleId="58">
    <w:name w:val="Body Text First Indent"/>
    <w:basedOn w:val="2"/>
    <w:qFormat/>
    <w:uiPriority w:val="0"/>
    <w:pPr>
      <w:spacing w:line="360" w:lineRule="auto"/>
      <w:ind w:firstLine="420"/>
    </w:pPr>
    <w:rPr>
      <w:rFonts w:ascii="宋体" w:hAnsi="宋体"/>
      <w:sz w:val="24"/>
    </w:rPr>
  </w:style>
  <w:style w:type="paragraph" w:styleId="59">
    <w:name w:val="Body Text First Indent 2"/>
    <w:basedOn w:val="23"/>
    <w:next w:val="1"/>
    <w:link w:val="91"/>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basedOn w:val="62"/>
    <w:qFormat/>
    <w:uiPriority w:val="22"/>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basedOn w:val="62"/>
    <w:qFormat/>
    <w:uiPriority w:val="0"/>
  </w:style>
  <w:style w:type="character" w:styleId="67">
    <w:name w:val="HTML Definition"/>
    <w:basedOn w:val="62"/>
    <w:qFormat/>
    <w:uiPriority w:val="0"/>
  </w:style>
  <w:style w:type="character" w:styleId="68">
    <w:name w:val="HTML Typewriter"/>
    <w:basedOn w:val="62"/>
    <w:qFormat/>
    <w:uiPriority w:val="0"/>
    <w:rPr>
      <w:rFonts w:hint="default" w:ascii="monospace" w:hAnsi="monospace" w:eastAsia="monospace" w:cs="monospace"/>
      <w:sz w:val="20"/>
    </w:rPr>
  </w:style>
  <w:style w:type="character" w:styleId="69">
    <w:name w:val="HTML Acronym"/>
    <w:basedOn w:val="62"/>
    <w:qFormat/>
    <w:uiPriority w:val="0"/>
  </w:style>
  <w:style w:type="character" w:styleId="70">
    <w:name w:val="HTML Variable"/>
    <w:basedOn w:val="62"/>
    <w:qFormat/>
    <w:uiPriority w:val="0"/>
  </w:style>
  <w:style w:type="character" w:styleId="71">
    <w:name w:val="Hyperlink"/>
    <w:qFormat/>
    <w:uiPriority w:val="99"/>
    <w:rPr>
      <w:color w:val="0000FF"/>
      <w:u w:val="single"/>
    </w:rPr>
  </w:style>
  <w:style w:type="character" w:styleId="72">
    <w:name w:val="HTML Code"/>
    <w:basedOn w:val="62"/>
    <w:qFormat/>
    <w:uiPriority w:val="0"/>
    <w:rPr>
      <w:rFonts w:hint="default" w:ascii="monospace" w:hAnsi="monospace" w:eastAsia="monospace" w:cs="monospace"/>
      <w:sz w:val="20"/>
    </w:rPr>
  </w:style>
  <w:style w:type="character" w:styleId="73">
    <w:name w:val="annotation reference"/>
    <w:qFormat/>
    <w:uiPriority w:val="0"/>
    <w:rPr>
      <w:sz w:val="21"/>
      <w:szCs w:val="21"/>
    </w:rPr>
  </w:style>
  <w:style w:type="character" w:styleId="74">
    <w:name w:val="HTML Cite"/>
    <w:basedOn w:val="62"/>
    <w:qFormat/>
    <w:uiPriority w:val="0"/>
  </w:style>
  <w:style w:type="character" w:styleId="75">
    <w:name w:val="footnote reference"/>
    <w:qFormat/>
    <w:uiPriority w:val="0"/>
    <w:rPr>
      <w:position w:val="6"/>
      <w:sz w:val="14"/>
      <w:vertAlign w:val="superscript"/>
    </w:rPr>
  </w:style>
  <w:style w:type="character" w:styleId="76">
    <w:name w:val="HTML Keyboard"/>
    <w:basedOn w:val="62"/>
    <w:qFormat/>
    <w:uiPriority w:val="0"/>
    <w:rPr>
      <w:rFonts w:ascii="monospace" w:hAnsi="monospace" w:eastAsia="monospace" w:cs="monospace"/>
      <w:sz w:val="20"/>
    </w:rPr>
  </w:style>
  <w:style w:type="character" w:styleId="77">
    <w:name w:val="HTML Sample"/>
    <w:basedOn w:val="62"/>
    <w:qFormat/>
    <w:uiPriority w:val="0"/>
    <w:rPr>
      <w:rFonts w:hint="default" w:ascii="monospace" w:hAnsi="monospace" w:eastAsia="monospace" w:cs="monospace"/>
    </w:rPr>
  </w:style>
  <w:style w:type="character" w:customStyle="1" w:styleId="78">
    <w:name w:val="标题 2 Char"/>
    <w:link w:val="4"/>
    <w:qFormat/>
    <w:uiPriority w:val="0"/>
    <w:rPr>
      <w:rFonts w:ascii="Arial" w:hAnsi="Arial" w:eastAsia="黑体"/>
      <w:b/>
      <w:kern w:val="2"/>
      <w:sz w:val="32"/>
    </w:rPr>
  </w:style>
  <w:style w:type="character" w:customStyle="1" w:styleId="79">
    <w:name w:val="标题 3 Char"/>
    <w:link w:val="5"/>
    <w:qFormat/>
    <w:uiPriority w:val="0"/>
    <w:rPr>
      <w:rFonts w:eastAsia="宋体"/>
      <w:b/>
      <w:kern w:val="2"/>
      <w:sz w:val="32"/>
      <w:lang w:val="en-US" w:eastAsia="zh-CN"/>
    </w:rPr>
  </w:style>
  <w:style w:type="paragraph" w:customStyle="1" w:styleId="80">
    <w:name w:val="BodyText"/>
    <w:basedOn w:val="1"/>
    <w:next w:val="81"/>
    <w:qFormat/>
    <w:uiPriority w:val="0"/>
    <w:pPr>
      <w:textAlignment w:val="baseline"/>
    </w:pPr>
    <w:rPr>
      <w:rFonts w:ascii="仿宋_GB2312" w:eastAsia="仿宋_GB2312"/>
      <w:sz w:val="32"/>
    </w:rPr>
  </w:style>
  <w:style w:type="paragraph" w:customStyle="1" w:styleId="81">
    <w:name w:val="BodyTextIndent"/>
    <w:basedOn w:val="1"/>
    <w:qFormat/>
    <w:uiPriority w:val="0"/>
    <w:pPr>
      <w:spacing w:line="700" w:lineRule="exact"/>
      <w:ind w:left="960"/>
      <w:textAlignment w:val="baseline"/>
    </w:pPr>
    <w:rPr>
      <w:sz w:val="44"/>
    </w:rPr>
  </w:style>
  <w:style w:type="paragraph" w:customStyle="1" w:styleId="8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3">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84">
    <w:name w:val="标书正文1"/>
    <w:basedOn w:val="1"/>
    <w:qFormat/>
    <w:uiPriority w:val="0"/>
    <w:pPr>
      <w:spacing w:line="520" w:lineRule="exact"/>
      <w:ind w:firstLine="640" w:firstLineChars="200"/>
    </w:pPr>
  </w:style>
  <w:style w:type="character" w:customStyle="1" w:styleId="85">
    <w:name w:val="批注文字 Char"/>
    <w:link w:val="20"/>
    <w:qFormat/>
    <w:uiPriority w:val="0"/>
    <w:rPr>
      <w:sz w:val="24"/>
    </w:rPr>
  </w:style>
  <w:style w:type="character" w:customStyle="1" w:styleId="86">
    <w:name w:val="正文文本缩进 Char"/>
    <w:link w:val="23"/>
    <w:qFormat/>
    <w:uiPriority w:val="0"/>
    <w:rPr>
      <w:kern w:val="2"/>
      <w:sz w:val="44"/>
    </w:rPr>
  </w:style>
  <w:style w:type="character" w:customStyle="1" w:styleId="87">
    <w:name w:val="日期 Char"/>
    <w:link w:val="32"/>
    <w:qFormat/>
    <w:uiPriority w:val="0"/>
    <w:rPr>
      <w:kern w:val="2"/>
      <w:sz w:val="28"/>
    </w:rPr>
  </w:style>
  <w:style w:type="character" w:customStyle="1" w:styleId="88">
    <w:name w:val="正文文本缩进 2 Char"/>
    <w:link w:val="33"/>
    <w:qFormat/>
    <w:uiPriority w:val="0"/>
    <w:rPr>
      <w:kern w:val="2"/>
      <w:sz w:val="28"/>
    </w:rPr>
  </w:style>
  <w:style w:type="character" w:customStyle="1" w:styleId="89">
    <w:name w:val="脚注文本 Char"/>
    <w:link w:val="43"/>
    <w:qFormat/>
    <w:uiPriority w:val="0"/>
    <w:rPr>
      <w:kern w:val="2"/>
      <w:sz w:val="18"/>
    </w:rPr>
  </w:style>
  <w:style w:type="character" w:customStyle="1" w:styleId="90">
    <w:name w:val="批注主题 Char"/>
    <w:link w:val="57"/>
    <w:qFormat/>
    <w:uiPriority w:val="0"/>
  </w:style>
  <w:style w:type="character" w:customStyle="1" w:styleId="91">
    <w:name w:val="正文首行缩进 2 Char"/>
    <w:link w:val="59"/>
    <w:qFormat/>
    <w:uiPriority w:val="0"/>
  </w:style>
  <w:style w:type="character" w:customStyle="1" w:styleId="92">
    <w:name w:val="v151"/>
    <w:qFormat/>
    <w:uiPriority w:val="0"/>
    <w:rPr>
      <w:sz w:val="18"/>
    </w:rPr>
  </w:style>
  <w:style w:type="character" w:customStyle="1" w:styleId="93">
    <w:name w:val="Char Char7"/>
    <w:qFormat/>
    <w:uiPriority w:val="0"/>
    <w:rPr>
      <w:rFonts w:ascii="宋体" w:hAnsi="宋体" w:eastAsia="宋体"/>
      <w:kern w:val="2"/>
      <w:sz w:val="28"/>
    </w:rPr>
  </w:style>
  <w:style w:type="character" w:customStyle="1" w:styleId="94">
    <w:name w:val="小 Char"/>
    <w:qFormat/>
    <w:uiPriority w:val="0"/>
    <w:rPr>
      <w:rFonts w:ascii="宋体" w:hAnsi="Courier New" w:eastAsia="宋体"/>
      <w:kern w:val="2"/>
      <w:sz w:val="21"/>
      <w:lang w:val="en-US" w:eastAsia="zh-CN" w:bidi="ar-SA"/>
    </w:rPr>
  </w:style>
  <w:style w:type="character" w:customStyle="1" w:styleId="95">
    <w:name w:val="文字 Char"/>
    <w:link w:val="96"/>
    <w:qFormat/>
    <w:uiPriority w:val="0"/>
    <w:rPr>
      <w:rFonts w:ascii="宋体"/>
      <w:kern w:val="2"/>
      <w:sz w:val="28"/>
    </w:rPr>
  </w:style>
  <w:style w:type="paragraph" w:customStyle="1" w:styleId="96">
    <w:name w:val="文字"/>
    <w:basedOn w:val="1"/>
    <w:link w:val="95"/>
    <w:qFormat/>
    <w:uiPriority w:val="0"/>
    <w:pPr>
      <w:tabs>
        <w:tab w:val="left" w:pos="8520"/>
      </w:tabs>
      <w:spacing w:line="312" w:lineRule="auto"/>
      <w:ind w:right="-210" w:firstLine="556"/>
    </w:pPr>
    <w:rPr>
      <w:rFonts w:ascii="宋体"/>
    </w:rPr>
  </w:style>
  <w:style w:type="character" w:customStyle="1" w:styleId="97">
    <w:name w:val="content-white1"/>
    <w:qFormat/>
    <w:uiPriority w:val="0"/>
    <w:rPr>
      <w:rFonts w:ascii="_x000B__x000C_" w:hAnsi="_x000B__x000C_"/>
      <w:color w:val="auto"/>
      <w:sz w:val="18"/>
      <w:u w:val="none"/>
    </w:rPr>
  </w:style>
  <w:style w:type="character" w:customStyle="1" w:styleId="98">
    <w:name w:val="正文 + 三号 Char"/>
    <w:qFormat/>
    <w:uiPriority w:val="0"/>
    <w:rPr>
      <w:rFonts w:eastAsia="宋体"/>
      <w:kern w:val="2"/>
      <w:sz w:val="21"/>
      <w:lang w:val="en-US" w:eastAsia="zh-CN"/>
    </w:rPr>
  </w:style>
  <w:style w:type="character" w:customStyle="1" w:styleId="99">
    <w:name w:val="H2 Char"/>
    <w:qFormat/>
    <w:uiPriority w:val="0"/>
    <w:rPr>
      <w:rFonts w:ascii="Arial" w:hAnsi="Arial" w:eastAsia="宋体"/>
      <w:kern w:val="2"/>
      <w:sz w:val="28"/>
      <w:lang w:val="en-US" w:eastAsia="zh-CN"/>
    </w:rPr>
  </w:style>
  <w:style w:type="character" w:customStyle="1" w:styleId="100">
    <w:name w:val="Char Char3"/>
    <w:qFormat/>
    <w:uiPriority w:val="0"/>
    <w:rPr>
      <w:rFonts w:eastAsia="宋体"/>
      <w:kern w:val="2"/>
      <w:sz w:val="18"/>
      <w:lang w:val="en-US" w:eastAsia="zh-CN"/>
    </w:rPr>
  </w:style>
  <w:style w:type="character" w:customStyle="1" w:styleId="101">
    <w:name w:val="Char Char4"/>
    <w:qFormat/>
    <w:uiPriority w:val="0"/>
    <w:rPr>
      <w:rFonts w:eastAsia="宋体"/>
      <w:b/>
      <w:kern w:val="2"/>
      <w:sz w:val="21"/>
      <w:lang w:val="en-US" w:eastAsia="zh-CN"/>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5"/>
    <w:qFormat/>
    <w:uiPriority w:val="0"/>
    <w:rPr>
      <w:rFonts w:ascii="Arial" w:hAnsi="Arial" w:eastAsia="宋体"/>
      <w:b/>
      <w:kern w:val="28"/>
      <w:sz w:val="36"/>
      <w:lang w:val="en-US" w:eastAsia="en-US"/>
    </w:rPr>
  </w:style>
  <w:style w:type="character" w:customStyle="1" w:styleId="104">
    <w:name w:val="Char Char"/>
    <w:qFormat/>
    <w:uiPriority w:val="0"/>
    <w:rPr>
      <w:rFonts w:ascii="宋体" w:hAnsi="宋体" w:eastAsia="宋体"/>
      <w:kern w:val="2"/>
      <w:sz w:val="24"/>
      <w:lang w:val="en-US" w:eastAsia="zh-CN" w:bidi="ar-SA"/>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Char Char2"/>
    <w:qFormat/>
    <w:uiPriority w:val="0"/>
    <w:rPr>
      <w:rFonts w:eastAsia="宋体"/>
      <w:kern w:val="2"/>
      <w:sz w:val="18"/>
      <w:lang w:val="en-US" w:eastAsia="zh-CN"/>
    </w:rPr>
  </w:style>
  <w:style w:type="character" w:customStyle="1" w:styleId="111">
    <w:name w:val="标书正文:  0.74 厘米 Char1"/>
    <w:qFormat/>
    <w:uiPriority w:val="0"/>
    <w:rPr>
      <w:rFonts w:eastAsia="宋体"/>
      <w:kern w:val="2"/>
      <w:sz w:val="24"/>
      <w:lang w:val="en-US" w:eastAsia="zh-CN"/>
    </w:rPr>
  </w:style>
  <w:style w:type="character" w:customStyle="1" w:styleId="112">
    <w:name w:val="样式 宋体"/>
    <w:qFormat/>
    <w:uiPriority w:val="0"/>
    <w:rPr>
      <w:rFonts w:ascii="宋体" w:hAnsi="宋体" w:eastAsia="宋体"/>
      <w:sz w:val="28"/>
    </w:rPr>
  </w:style>
  <w:style w:type="character" w:customStyle="1" w:styleId="113">
    <w:name w:val="未命名11"/>
    <w:qFormat/>
    <w:uiPriority w:val="0"/>
    <w:rPr>
      <w:color w:val="77FFFF"/>
      <w:sz w:val="24"/>
    </w:rPr>
  </w:style>
  <w:style w:type="character" w:customStyle="1" w:styleId="114">
    <w:name w:val="crowed11"/>
    <w:qFormat/>
    <w:uiPriority w:val="0"/>
    <w:rPr>
      <w:rFonts w:hint="default" w:ascii="_x000B__x000C_" w:hAnsi="_x000B__x000C_"/>
      <w:sz w:val="24"/>
    </w:rPr>
  </w:style>
  <w:style w:type="character" w:customStyle="1" w:styleId="115">
    <w:name w:val="Char Char6"/>
    <w:qFormat/>
    <w:uiPriority w:val="0"/>
    <w:rPr>
      <w:rFonts w:ascii="仿宋_GB2312" w:eastAsia="仿宋_GB2312"/>
      <w:kern w:val="2"/>
      <w:sz w:val="32"/>
    </w:rPr>
  </w:style>
  <w:style w:type="character" w:customStyle="1" w:styleId="116">
    <w:name w:val="title_emph1"/>
    <w:qFormat/>
    <w:uiPriority w:val="0"/>
    <w:rPr>
      <w:rFonts w:hint="default" w:ascii="Arial" w:hAnsi="Arial"/>
      <w:b/>
      <w:sz w:val="20"/>
    </w:rPr>
  </w:style>
  <w:style w:type="character" w:customStyle="1" w:styleId="117">
    <w:name w:val="font1"/>
    <w:qFormat/>
    <w:uiPriority w:val="0"/>
    <w:rPr>
      <w:color w:val="000000"/>
      <w:sz w:val="18"/>
    </w:rPr>
  </w:style>
  <w:style w:type="character" w:customStyle="1" w:styleId="118">
    <w:name w:val="Char Char11"/>
    <w:qFormat/>
    <w:uiPriority w:val="0"/>
    <w:rPr>
      <w:rFonts w:ascii="宋体"/>
      <w:kern w:val="2"/>
      <w:sz w:val="28"/>
    </w:rPr>
  </w:style>
  <w:style w:type="character" w:customStyle="1" w:styleId="119">
    <w:name w:val="top-det1"/>
    <w:qFormat/>
    <w:uiPriority w:val="0"/>
    <w:rPr>
      <w:b/>
      <w:color w:val="000000"/>
    </w:rPr>
  </w:style>
  <w:style w:type="paragraph" w:customStyle="1" w:styleId="120">
    <w:name w:val="二级列表"/>
    <w:basedOn w:val="121"/>
    <w:qFormat/>
    <w:uiPriority w:val="0"/>
    <w:pPr>
      <w:tabs>
        <w:tab w:val="left" w:pos="2120"/>
      </w:tabs>
      <w:ind w:firstLine="0" w:firstLineChars="0"/>
    </w:pPr>
    <w:rPr>
      <w:b/>
    </w:rPr>
  </w:style>
  <w:style w:type="paragraph" w:customStyle="1" w:styleId="121">
    <w:name w:val="段落正文"/>
    <w:basedOn w:val="1"/>
    <w:qFormat/>
    <w:uiPriority w:val="0"/>
    <w:pPr>
      <w:spacing w:before="156" w:beforeLines="50" w:line="360" w:lineRule="auto"/>
      <w:ind w:firstLine="200" w:firstLineChars="200"/>
    </w:pPr>
    <w:rPr>
      <w:spacing w:val="2"/>
      <w:sz w:val="24"/>
    </w:rPr>
  </w:style>
  <w:style w:type="paragraph" w:customStyle="1" w:styleId="122">
    <w:name w:val="标题3——2"/>
    <w:basedOn w:val="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23">
    <w:name w:val="文本1"/>
    <w:basedOn w:val="1"/>
    <w:qFormat/>
    <w:uiPriority w:val="0"/>
    <w:pPr>
      <w:adjustRightInd w:val="0"/>
      <w:spacing w:line="312" w:lineRule="atLeast"/>
      <w:jc w:val="center"/>
    </w:pPr>
    <w:rPr>
      <w:kern w:val="0"/>
      <w:sz w:val="18"/>
    </w:rPr>
  </w:style>
  <w:style w:type="paragraph" w:customStyle="1" w:styleId="124">
    <w:name w:val="Title - Revision"/>
    <w:basedOn w:val="56"/>
    <w:qFormat/>
    <w:uiPriority w:val="0"/>
    <w:pPr>
      <w:spacing w:before="720"/>
    </w:pPr>
  </w:style>
  <w:style w:type="paragraph" w:customStyle="1" w:styleId="12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6">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27">
    <w:name w:val="二级条标题"/>
    <w:basedOn w:val="128"/>
    <w:qFormat/>
    <w:uiPriority w:val="0"/>
    <w:pPr>
      <w:ind w:left="840"/>
      <w:outlineLvl w:val="3"/>
    </w:pPr>
  </w:style>
  <w:style w:type="paragraph" w:customStyle="1" w:styleId="128">
    <w:name w:val="一级条标题"/>
    <w:basedOn w:val="129"/>
    <w:qFormat/>
    <w:uiPriority w:val="0"/>
    <w:pPr>
      <w:numPr>
        <w:numId w:val="0"/>
      </w:numPr>
      <w:spacing w:before="0" w:beforeLines="0" w:after="0" w:afterLines="0"/>
      <w:ind w:left="525"/>
      <w:outlineLvl w:val="2"/>
    </w:pPr>
    <w:rPr>
      <w:sz w:val="21"/>
    </w:rPr>
  </w:style>
  <w:style w:type="paragraph" w:customStyle="1" w:styleId="129">
    <w:name w:val="章标题"/>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1">
    <w:name w:val="1.正文"/>
    <w:basedOn w:val="1"/>
    <w:qFormat/>
    <w:uiPriority w:val="0"/>
    <w:pPr>
      <w:spacing w:line="360" w:lineRule="auto"/>
      <w:ind w:left="540" w:leftChars="225" w:firstLine="540" w:firstLineChars="225"/>
    </w:pPr>
    <w:rPr>
      <w:sz w:val="24"/>
    </w:rPr>
  </w:style>
  <w:style w:type="paragraph" w:customStyle="1" w:styleId="13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编号正文"/>
    <w:basedOn w:val="134"/>
    <w:qFormat/>
    <w:uiPriority w:val="0"/>
    <w:pPr>
      <w:snapToGrid/>
      <w:spacing w:line="360" w:lineRule="auto"/>
      <w:ind w:left="1407" w:hanging="1047"/>
      <w:jc w:val="left"/>
    </w:pPr>
    <w:rPr>
      <w:rFonts w:eastAsia="仿宋_GB2312"/>
    </w:rPr>
  </w:style>
  <w:style w:type="paragraph" w:customStyle="1" w:styleId="134">
    <w:name w:val="文档正文"/>
    <w:basedOn w:val="1"/>
    <w:qFormat/>
    <w:uiPriority w:val="0"/>
    <w:pPr>
      <w:adjustRightInd w:val="0"/>
      <w:snapToGrid w:val="0"/>
      <w:spacing w:line="440" w:lineRule="exact"/>
      <w:ind w:firstLine="567"/>
    </w:pPr>
    <w:rPr>
      <w:rFonts w:ascii="Arial Narrow" w:hAnsi="Arial Narrow"/>
      <w:kern w:val="0"/>
      <w:sz w:val="24"/>
    </w:rPr>
  </w:style>
  <w:style w:type="paragraph" w:customStyle="1" w:styleId="135">
    <w:name w:val="样式3"/>
    <w:basedOn w:val="3"/>
    <w:qFormat/>
    <w:uiPriority w:val="0"/>
    <w:pPr>
      <w:keepLines/>
      <w:adjustRightInd w:val="0"/>
      <w:spacing w:before="340" w:after="330" w:line="576" w:lineRule="auto"/>
    </w:pPr>
    <w:rPr>
      <w:rFonts w:ascii="Times New Roman" w:eastAsia="黑体"/>
      <w:b/>
      <w:kern w:val="44"/>
      <w:sz w:val="44"/>
    </w:rPr>
  </w:style>
  <w:style w:type="paragraph" w:customStyle="1" w:styleId="136">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7">
    <w:name w:val="默认段落字体 Para Char Char Char Char Char Char Char Char Char1 Char Char Char Char"/>
    <w:basedOn w:val="1"/>
    <w:qFormat/>
    <w:uiPriority w:val="0"/>
    <w:rPr>
      <w:rFonts w:ascii="Tahoma" w:hAnsi="Tahoma"/>
      <w:sz w:val="24"/>
    </w:rPr>
  </w:style>
  <w:style w:type="paragraph" w:customStyle="1" w:styleId="13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40">
    <w:name w:val="Char Char14 Char Char"/>
    <w:basedOn w:val="1"/>
    <w:qFormat/>
    <w:uiPriority w:val="0"/>
    <w:rPr>
      <w:sz w:val="21"/>
      <w:szCs w:val="24"/>
    </w:rPr>
  </w:style>
  <w:style w:type="paragraph" w:customStyle="1" w:styleId="141">
    <w:name w:val="Char Char Char Char Char"/>
    <w:basedOn w:val="1"/>
    <w:qFormat/>
    <w:uiPriority w:val="0"/>
    <w:pPr>
      <w:tabs>
        <w:tab w:val="left" w:pos="425"/>
      </w:tabs>
      <w:ind w:left="1620" w:hanging="360"/>
    </w:pPr>
    <w:rPr>
      <w:rFonts w:ascii="Tahoma" w:hAnsi="Tahoma"/>
      <w:sz w:val="24"/>
    </w:rPr>
  </w:style>
  <w:style w:type="paragraph" w:customStyle="1" w:styleId="142">
    <w:name w:val="Char2 Char Char Char Char Char Char"/>
    <w:basedOn w:val="1"/>
    <w:qFormat/>
    <w:uiPriority w:val="0"/>
    <w:rPr>
      <w:rFonts w:ascii="仿宋_GB2312"/>
      <w:b/>
      <w:sz w:val="30"/>
    </w:rPr>
  </w:style>
  <w:style w:type="paragraph" w:customStyle="1" w:styleId="143">
    <w:name w:val="_Style 126"/>
    <w:qFormat/>
    <w:uiPriority w:val="0"/>
    <w:rPr>
      <w:rFonts w:ascii="Times New Roman" w:hAnsi="Times New Roman" w:eastAsia="宋体" w:cs="Times New Roman"/>
      <w:kern w:val="2"/>
      <w:sz w:val="21"/>
      <w:lang w:val="en-US" w:eastAsia="zh-CN" w:bidi="ar-SA"/>
    </w:rPr>
  </w:style>
  <w:style w:type="paragraph" w:customStyle="1" w:styleId="144">
    <w:name w:val="正文格式 Char"/>
    <w:basedOn w:val="1"/>
    <w:qFormat/>
    <w:uiPriority w:val="0"/>
    <w:pPr>
      <w:widowControl/>
      <w:adjustRightInd w:val="0"/>
      <w:spacing w:line="440" w:lineRule="atLeast"/>
      <w:ind w:firstLine="510"/>
    </w:pPr>
    <w:rPr>
      <w:kern w:val="0"/>
      <w:sz w:val="24"/>
    </w:rPr>
  </w:style>
  <w:style w:type="paragraph" w:customStyle="1" w:styleId="145">
    <w:name w:val="正文 + 三号"/>
    <w:basedOn w:val="1"/>
    <w:qFormat/>
    <w:uiPriority w:val="0"/>
    <w:rPr>
      <w:sz w:val="21"/>
    </w:rPr>
  </w:style>
  <w:style w:type="paragraph" w:customStyle="1" w:styleId="146">
    <w:name w:val="样式 首行缩进:  0.74 厘米"/>
    <w:basedOn w:val="1"/>
    <w:qFormat/>
    <w:uiPriority w:val="0"/>
    <w:pPr>
      <w:spacing w:line="360" w:lineRule="auto"/>
      <w:ind w:firstLine="420"/>
    </w:pPr>
    <w:rPr>
      <w:sz w:val="24"/>
    </w:rPr>
  </w:style>
  <w:style w:type="paragraph" w:customStyle="1" w:styleId="147">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48">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4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0">
    <w:name w:val="Table Contents"/>
    <w:basedOn w:val="2"/>
    <w:qFormat/>
    <w:uiPriority w:val="0"/>
    <w:pPr>
      <w:suppressAutoHyphens/>
      <w:jc w:val="left"/>
    </w:pPr>
    <w:rPr>
      <w:rFonts w:ascii="Times New Roman" w:eastAsia="Times New Roman"/>
      <w:kern w:val="0"/>
      <w:sz w:val="24"/>
    </w:rPr>
  </w:style>
  <w:style w:type="paragraph" w:customStyle="1" w:styleId="151">
    <w:name w:val="表格文本"/>
    <w:qFormat/>
    <w:uiPriority w:val="0"/>
    <w:pPr>
      <w:tabs>
        <w:tab w:val="decimal" w:pos="0"/>
      </w:tabs>
    </w:pPr>
    <w:rPr>
      <w:rFonts w:ascii="Arial" w:hAnsi="Arial" w:eastAsia="宋体" w:cs="Times New Roman"/>
      <w:sz w:val="21"/>
      <w:lang w:val="en-US" w:eastAsia="zh-CN" w:bidi="ar-SA"/>
    </w:rPr>
  </w:style>
  <w:style w:type="paragraph" w:customStyle="1" w:styleId="152">
    <w:name w:val="Char Char Char Char Char Char Char"/>
    <w:basedOn w:val="1"/>
    <w:qFormat/>
    <w:uiPriority w:val="0"/>
    <w:rPr>
      <w:rFonts w:ascii="Tahoma" w:hAnsi="Tahoma"/>
      <w:sz w:val="24"/>
    </w:rPr>
  </w:style>
  <w:style w:type="paragraph" w:customStyle="1" w:styleId="153">
    <w:name w:val="样式2"/>
    <w:basedOn w:val="6"/>
    <w:qFormat/>
    <w:uiPriority w:val="0"/>
    <w:pPr>
      <w:numPr>
        <w:ilvl w:val="0"/>
        <w:numId w:val="6"/>
      </w:numPr>
      <w:spacing w:before="560" w:line="400" w:lineRule="exact"/>
      <w:jc w:val="center"/>
      <w:outlineLvl w:val="0"/>
    </w:pPr>
    <w:rPr>
      <w:b w:val="0"/>
      <w:sz w:val="44"/>
    </w:rPr>
  </w:style>
  <w:style w:type="paragraph" w:customStyle="1" w:styleId="154">
    <w:name w:val="内容标题"/>
    <w:basedOn w:val="18"/>
    <w:qFormat/>
    <w:uiPriority w:val="0"/>
    <w:rPr>
      <w:rFonts w:ascii="Tahoma" w:hAnsi="Tahoma"/>
      <w:sz w:val="24"/>
    </w:rPr>
  </w:style>
  <w:style w:type="paragraph" w:customStyle="1" w:styleId="15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6">
    <w:name w:val="1"/>
    <w:basedOn w:val="1"/>
    <w:next w:val="30"/>
    <w:qFormat/>
    <w:uiPriority w:val="0"/>
    <w:rPr>
      <w:rFonts w:ascii="宋体" w:hAnsi="Courier New"/>
      <w:sz w:val="21"/>
    </w:rPr>
  </w:style>
  <w:style w:type="paragraph" w:customStyle="1" w:styleId="157">
    <w:name w:val="列表项目"/>
    <w:basedOn w:val="1"/>
    <w:qFormat/>
    <w:uiPriority w:val="0"/>
    <w:pPr>
      <w:tabs>
        <w:tab w:val="left" w:pos="420"/>
      </w:tabs>
      <w:spacing w:line="288" w:lineRule="auto"/>
      <w:ind w:left="840" w:leftChars="200" w:hanging="420" w:hangingChars="200"/>
    </w:pPr>
    <w:rPr>
      <w:sz w:val="21"/>
    </w:rPr>
  </w:style>
  <w:style w:type="paragraph" w:customStyle="1" w:styleId="15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59">
    <w:name w:val="Char Char Char Char Char Char Char1"/>
    <w:basedOn w:val="18"/>
    <w:qFormat/>
    <w:uiPriority w:val="0"/>
    <w:rPr>
      <w:rFonts w:ascii="宋体" w:hAnsi="Tahoma"/>
    </w:rPr>
  </w:style>
  <w:style w:type="paragraph" w:customStyle="1" w:styleId="160">
    <w:name w:val="样式 标题 6第五层条 + 三号 段前: 0.5 行"/>
    <w:basedOn w:val="8"/>
    <w:qFormat/>
    <w:uiPriority w:val="0"/>
    <w:pPr>
      <w:widowControl/>
      <w:adjustRightInd/>
      <w:snapToGrid/>
      <w:spacing w:before="156" w:beforeLines="50"/>
      <w:jc w:val="left"/>
    </w:pPr>
    <w:rPr>
      <w:kern w:val="24"/>
      <w:sz w:val="28"/>
    </w:rPr>
  </w:style>
  <w:style w:type="paragraph" w:customStyle="1" w:styleId="1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63">
    <w:name w:val="样式 行距: 1.5 倍行距1"/>
    <w:basedOn w:val="1"/>
    <w:qFormat/>
    <w:uiPriority w:val="0"/>
    <w:pPr>
      <w:snapToGrid w:val="0"/>
    </w:pPr>
    <w:rPr>
      <w:sz w:val="21"/>
    </w:rPr>
  </w:style>
  <w:style w:type="paragraph" w:customStyle="1" w:styleId="16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5">
    <w:name w:val="00"/>
    <w:basedOn w:val="1"/>
    <w:qFormat/>
    <w:uiPriority w:val="0"/>
    <w:pPr>
      <w:autoSpaceDE w:val="0"/>
      <w:autoSpaceDN w:val="0"/>
      <w:adjustRightInd w:val="0"/>
      <w:jc w:val="left"/>
    </w:pPr>
    <w:rPr>
      <w:rFonts w:ascii="黑体" w:eastAsia="黑体"/>
      <w:b/>
      <w:kern w:val="0"/>
      <w:sz w:val="20"/>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6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9">
    <w:name w:val="标准正文"/>
    <w:basedOn w:val="23"/>
    <w:qFormat/>
    <w:uiPriority w:val="0"/>
    <w:pPr>
      <w:spacing w:before="60" w:after="60" w:line="360" w:lineRule="auto"/>
      <w:ind w:left="0" w:firstLine="482"/>
    </w:pPr>
    <w:rPr>
      <w:rFonts w:ascii="Arial" w:hAnsi="Arial"/>
      <w:sz w:val="24"/>
    </w:rPr>
  </w:style>
  <w:style w:type="paragraph" w:customStyle="1" w:styleId="170">
    <w:name w:val="正文文本 21"/>
    <w:basedOn w:val="1"/>
    <w:qFormat/>
    <w:uiPriority w:val="0"/>
    <w:pPr>
      <w:adjustRightInd w:val="0"/>
      <w:spacing w:before="120" w:line="360" w:lineRule="auto"/>
      <w:ind w:firstLine="480"/>
    </w:pPr>
    <w:rPr>
      <w:sz w:val="24"/>
    </w:rPr>
  </w:style>
  <w:style w:type="paragraph" w:customStyle="1" w:styleId="171">
    <w:name w:val="样式1"/>
    <w:basedOn w:val="6"/>
    <w:qFormat/>
    <w:uiPriority w:val="0"/>
    <w:pPr>
      <w:tabs>
        <w:tab w:val="left" w:pos="720"/>
      </w:tabs>
      <w:spacing w:before="500" w:after="260" w:line="560" w:lineRule="atLeast"/>
      <w:ind w:left="420" w:hanging="420"/>
    </w:pPr>
  </w:style>
  <w:style w:type="paragraph" w:customStyle="1" w:styleId="172">
    <w:name w:val="正文4"/>
    <w:basedOn w:val="1"/>
    <w:qFormat/>
    <w:uiPriority w:val="0"/>
    <w:pPr>
      <w:tabs>
        <w:tab w:val="left" w:pos="1275"/>
      </w:tabs>
      <w:spacing w:before="60" w:after="60" w:line="360" w:lineRule="auto"/>
      <w:ind w:left="820" w:leftChars="400" w:hanging="705"/>
    </w:pPr>
    <w:rPr>
      <w:sz w:val="24"/>
    </w:rPr>
  </w:style>
  <w:style w:type="paragraph" w:customStyle="1" w:styleId="17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74">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75">
    <w:name w:val="文本框样式1"/>
    <w:basedOn w:val="1"/>
    <w:qFormat/>
    <w:uiPriority w:val="0"/>
    <w:pPr>
      <w:adjustRightInd w:val="0"/>
      <w:snapToGrid w:val="0"/>
      <w:spacing w:before="60" w:line="180" w:lineRule="exact"/>
      <w:jc w:val="center"/>
    </w:pPr>
    <w:rPr>
      <w:sz w:val="21"/>
    </w:rPr>
  </w:style>
  <w:style w:type="paragraph" w:customStyle="1" w:styleId="176">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附录1"/>
    <w:basedOn w:val="1"/>
    <w:qFormat/>
    <w:uiPriority w:val="0"/>
    <w:pPr>
      <w:tabs>
        <w:tab w:val="left" w:pos="1304"/>
      </w:tabs>
      <w:ind w:left="425" w:hanging="425"/>
      <w:outlineLvl w:val="0"/>
    </w:pPr>
    <w:rPr>
      <w:rFonts w:ascii="黑体" w:hAnsi="黑体" w:eastAsia="黑体"/>
      <w:b/>
      <w:sz w:val="44"/>
    </w:rPr>
  </w:style>
  <w:style w:type="paragraph" w:customStyle="1" w:styleId="17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9">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80">
    <w:name w:val="关键词"/>
    <w:basedOn w:val="1"/>
    <w:qFormat/>
    <w:uiPriority w:val="0"/>
    <w:pPr>
      <w:spacing w:line="360" w:lineRule="auto"/>
    </w:pPr>
    <w:rPr>
      <w:rFonts w:eastAsia="黑体"/>
      <w:sz w:val="20"/>
    </w:rPr>
  </w:style>
  <w:style w:type="paragraph" w:customStyle="1" w:styleId="181">
    <w:name w:val="Title - Date"/>
    <w:basedOn w:val="56"/>
    <w:qFormat/>
    <w:uiPriority w:val="0"/>
    <w:pPr>
      <w:spacing w:before="240" w:after="720"/>
    </w:pPr>
    <w:rPr>
      <w:sz w:val="28"/>
    </w:rPr>
  </w:style>
  <w:style w:type="paragraph" w:customStyle="1" w:styleId="18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3">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84">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7">
    <w:name w:val="Style Heading 3h3Heading 3 - oldLevel 3 HeadH3level_3PIM 3se..."/>
    <w:basedOn w:val="5"/>
    <w:qFormat/>
    <w:uiPriority w:val="0"/>
    <w:pPr>
      <w:numPr>
        <w:ilvl w:val="2"/>
        <w:numId w:val="9"/>
      </w:numPr>
      <w:tabs>
        <w:tab w:val="left" w:pos="709"/>
        <w:tab w:val="left" w:pos="1620"/>
      </w:tabs>
    </w:pPr>
  </w:style>
  <w:style w:type="paragraph" w:customStyle="1" w:styleId="188">
    <w:name w:val="样式4"/>
    <w:basedOn w:val="6"/>
    <w:qFormat/>
    <w:uiPriority w:val="0"/>
    <w:pPr>
      <w:adjustRightInd w:val="0"/>
      <w:snapToGrid w:val="0"/>
    </w:pPr>
  </w:style>
  <w:style w:type="paragraph" w:customStyle="1" w:styleId="189">
    <w:name w:val="摘要"/>
    <w:basedOn w:val="1"/>
    <w:qFormat/>
    <w:uiPriority w:val="0"/>
    <w:pPr>
      <w:spacing w:line="360" w:lineRule="auto"/>
    </w:pPr>
    <w:rPr>
      <w:rFonts w:eastAsia="黑体"/>
      <w:sz w:val="20"/>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可研正文"/>
    <w:basedOn w:val="2"/>
    <w:qFormat/>
    <w:uiPriority w:val="0"/>
    <w:pPr>
      <w:adjustRightInd w:val="0"/>
      <w:snapToGrid w:val="0"/>
      <w:spacing w:line="440" w:lineRule="exact"/>
      <w:ind w:firstLine="567"/>
    </w:pPr>
    <w:rPr>
      <w:sz w:val="28"/>
    </w:rPr>
  </w:style>
  <w:style w:type="paragraph" w:customStyle="1" w:styleId="192">
    <w:name w:val="没有缩进（为图形使用）"/>
    <w:basedOn w:val="1"/>
    <w:qFormat/>
    <w:uiPriority w:val="0"/>
    <w:pPr>
      <w:spacing w:before="120" w:after="120" w:line="360" w:lineRule="auto"/>
    </w:pPr>
    <w:rPr>
      <w:sz w:val="24"/>
    </w:rPr>
  </w:style>
  <w:style w:type="paragraph" w:customStyle="1" w:styleId="193">
    <w:name w:val="样式 样式 正文首行缩进 2 + 左  0 字符 + 首行缩进:  2.57 字符"/>
    <w:basedOn w:val="1"/>
    <w:qFormat/>
    <w:uiPriority w:val="0"/>
    <w:pPr>
      <w:adjustRightInd w:val="0"/>
      <w:snapToGrid w:val="0"/>
      <w:spacing w:after="120"/>
      <w:ind w:firstLine="540" w:firstLineChars="257"/>
    </w:pPr>
    <w:rPr>
      <w:sz w:val="21"/>
    </w:rPr>
  </w:style>
  <w:style w:type="paragraph" w:customStyle="1" w:styleId="19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5">
    <w:name w:val="标书正文:  0.74 厘米"/>
    <w:basedOn w:val="1"/>
    <w:qFormat/>
    <w:uiPriority w:val="0"/>
    <w:pPr>
      <w:snapToGrid w:val="0"/>
      <w:spacing w:line="360" w:lineRule="auto"/>
      <w:ind w:firstLine="420"/>
    </w:pPr>
    <w:rPr>
      <w:sz w:val="24"/>
    </w:rPr>
  </w:style>
  <w:style w:type="paragraph" w:customStyle="1" w:styleId="196">
    <w:name w:val="样式 正文缩进正文（首行缩进两字）表正文正文非缩进特点标题4段1 + 首行缩进:  2 字符"/>
    <w:basedOn w:val="16"/>
    <w:qFormat/>
    <w:uiPriority w:val="0"/>
    <w:pPr>
      <w:ind w:firstLine="480" w:firstLineChars="200"/>
    </w:pPr>
  </w:style>
  <w:style w:type="paragraph" w:customStyle="1" w:styleId="19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8">
    <w:name w:val="Char1 Char Char Char"/>
    <w:basedOn w:val="1"/>
    <w:qFormat/>
    <w:uiPriority w:val="0"/>
    <w:rPr>
      <w:rFonts w:ascii="Tahoma" w:hAnsi="Tahoma"/>
      <w:sz w:val="24"/>
    </w:rPr>
  </w:style>
  <w:style w:type="paragraph" w:customStyle="1" w:styleId="19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200">
    <w:name w:val="文章正文"/>
    <w:basedOn w:val="1"/>
    <w:qFormat/>
    <w:uiPriority w:val="0"/>
    <w:pPr>
      <w:ind w:firstLine="560" w:firstLineChars="200"/>
    </w:pPr>
    <w:rPr>
      <w:rFonts w:ascii="仿宋_GB2312" w:hAnsi="宋体" w:eastAsia="仿宋_GB2312"/>
      <w:color w:val="000000"/>
    </w:rPr>
  </w:style>
  <w:style w:type="paragraph" w:customStyle="1" w:styleId="201">
    <w:name w:val="样式 宋体 五号 两端对齐 行距: 单倍行距"/>
    <w:basedOn w:val="1"/>
    <w:qFormat/>
    <w:uiPriority w:val="0"/>
    <w:pPr>
      <w:adjustRightInd w:val="0"/>
    </w:pPr>
    <w:rPr>
      <w:rFonts w:ascii="宋体" w:hAnsi="宋体"/>
      <w:kern w:val="0"/>
      <w:sz w:val="21"/>
    </w:rPr>
  </w:style>
  <w:style w:type="paragraph" w:customStyle="1" w:styleId="202">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203">
    <w:name w:val="Char Char1 Char"/>
    <w:basedOn w:val="1"/>
    <w:qFormat/>
    <w:uiPriority w:val="0"/>
    <w:rPr>
      <w:rFonts w:ascii="Tahoma" w:hAnsi="Tahoma"/>
      <w:sz w:val="24"/>
      <w:szCs w:val="24"/>
    </w:rPr>
  </w:style>
  <w:style w:type="paragraph" w:customStyle="1" w:styleId="204">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05">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w:basedOn w:val="1"/>
    <w:qFormat/>
    <w:uiPriority w:val="0"/>
    <w:pPr>
      <w:spacing w:line="240" w:lineRule="atLeast"/>
      <w:ind w:left="420" w:firstLine="420"/>
    </w:pPr>
    <w:rPr>
      <w:kern w:val="0"/>
      <w:sz w:val="21"/>
    </w:rPr>
  </w:style>
  <w:style w:type="paragraph" w:customStyle="1" w:styleId="207">
    <w:name w:val="_"/>
    <w:basedOn w:val="1"/>
    <w:qFormat/>
    <w:uiPriority w:val="0"/>
    <w:pPr>
      <w:adjustRightInd w:val="0"/>
      <w:spacing w:line="360" w:lineRule="auto"/>
      <w:ind w:left="480" w:firstLine="200" w:firstLineChars="200"/>
    </w:pPr>
    <w:rPr>
      <w:kern w:val="0"/>
      <w:sz w:val="24"/>
    </w:rPr>
  </w:style>
  <w:style w:type="paragraph" w:customStyle="1" w:styleId="208">
    <w:name w:val="Char1 Char Char Char1"/>
    <w:basedOn w:val="1"/>
    <w:qFormat/>
    <w:uiPriority w:val="0"/>
    <w:rPr>
      <w:rFonts w:ascii="Tahoma" w:hAnsi="Tahoma"/>
      <w:sz w:val="30"/>
    </w:rPr>
  </w:style>
  <w:style w:type="paragraph" w:customStyle="1" w:styleId="209">
    <w:name w:val="表头文本"/>
    <w:qFormat/>
    <w:uiPriority w:val="0"/>
    <w:pPr>
      <w:jc w:val="center"/>
    </w:pPr>
    <w:rPr>
      <w:rFonts w:ascii="Arial" w:hAnsi="Arial" w:eastAsia="宋体" w:cs="Times New Roman"/>
      <w:b/>
      <w:sz w:val="21"/>
      <w:lang w:val="en-US" w:eastAsia="zh-CN" w:bidi="ar-SA"/>
    </w:rPr>
  </w:style>
  <w:style w:type="paragraph" w:customStyle="1" w:styleId="210">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11">
    <w:name w:val="Char Char Char"/>
    <w:basedOn w:val="1"/>
    <w:qFormat/>
    <w:uiPriority w:val="0"/>
    <w:rPr>
      <w:rFonts w:ascii="Tahoma" w:hAnsi="Tahoma"/>
      <w:sz w:val="24"/>
    </w:rPr>
  </w:style>
  <w:style w:type="paragraph" w:customStyle="1" w:styleId="21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3">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5">
    <w:name w:val="默认段落字体 Para Char Char Char Char Char Char Char"/>
    <w:basedOn w:val="1"/>
    <w:qFormat/>
    <w:uiPriority w:val="0"/>
    <w:rPr>
      <w:rFonts w:ascii="Tahoma" w:hAnsi="Tahoma"/>
      <w:sz w:val="24"/>
    </w:rPr>
  </w:style>
  <w:style w:type="paragraph" w:customStyle="1" w:styleId="216">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8">
    <w:name w:val="首行缩进"/>
    <w:basedOn w:val="1"/>
    <w:qFormat/>
    <w:uiPriority w:val="0"/>
    <w:pPr>
      <w:numPr>
        <w:ilvl w:val="0"/>
        <w:numId w:val="11"/>
      </w:numPr>
      <w:spacing w:line="360" w:lineRule="auto"/>
    </w:pPr>
    <w:rPr>
      <w:rFonts w:eastAsia="仿宋_GB2312"/>
    </w:rPr>
  </w:style>
  <w:style w:type="paragraph" w:customStyle="1" w:styleId="219">
    <w:name w:val="正文字缩2字"/>
    <w:basedOn w:val="1"/>
    <w:qFormat/>
    <w:uiPriority w:val="0"/>
    <w:pPr>
      <w:spacing w:before="60" w:after="60" w:line="360" w:lineRule="auto"/>
      <w:ind w:left="200" w:leftChars="200" w:firstLine="200" w:firstLineChars="200"/>
    </w:pPr>
    <w:rPr>
      <w:sz w:val="24"/>
    </w:rPr>
  </w:style>
  <w:style w:type="paragraph" w:customStyle="1" w:styleId="220">
    <w:name w:val="正文表格"/>
    <w:basedOn w:val="1"/>
    <w:qFormat/>
    <w:uiPriority w:val="0"/>
    <w:pPr>
      <w:adjustRightInd w:val="0"/>
      <w:spacing w:before="40" w:after="40"/>
    </w:pPr>
    <w:rPr>
      <w:sz w:val="24"/>
    </w:rPr>
  </w:style>
  <w:style w:type="paragraph" w:customStyle="1" w:styleId="221">
    <w:name w:val="表文字"/>
    <w:qFormat/>
    <w:uiPriority w:val="0"/>
    <w:rPr>
      <w:rFonts w:ascii="宋体" w:hAnsi="Times New Roman" w:eastAsia="宋体" w:cs="Times New Roman"/>
      <w:kern w:val="2"/>
      <w:lang w:val="en-US" w:eastAsia="zh-CN" w:bidi="ar-SA"/>
    </w:rPr>
  </w:style>
  <w:style w:type="paragraph" w:customStyle="1" w:styleId="222">
    <w:name w:val="表格内文字"/>
    <w:basedOn w:val="30"/>
    <w:qFormat/>
    <w:uiPriority w:val="0"/>
    <w:pPr>
      <w:adjustRightInd w:val="0"/>
    </w:pPr>
    <w:rPr>
      <w:color w:val="000000"/>
      <w:lang w:val="en-GB"/>
    </w:rPr>
  </w:style>
  <w:style w:type="paragraph" w:customStyle="1" w:styleId="223">
    <w:name w:val="正文文本缩进 21"/>
    <w:basedOn w:val="1"/>
    <w:qFormat/>
    <w:uiPriority w:val="0"/>
    <w:pPr>
      <w:adjustRightInd w:val="0"/>
      <w:spacing w:before="120"/>
      <w:ind w:firstLine="420"/>
    </w:pPr>
    <w:rPr>
      <w:sz w:val="24"/>
    </w:rPr>
  </w:style>
  <w:style w:type="paragraph" w:customStyle="1" w:styleId="224">
    <w:name w:val="标题无"/>
    <w:basedOn w:val="1"/>
    <w:qFormat/>
    <w:uiPriority w:val="0"/>
    <w:pPr>
      <w:spacing w:line="360" w:lineRule="auto"/>
    </w:pPr>
    <w:rPr>
      <w:sz w:val="24"/>
    </w:rPr>
  </w:style>
  <w:style w:type="paragraph" w:customStyle="1" w:styleId="225">
    <w:name w:val="af"/>
    <w:basedOn w:val="1"/>
    <w:qFormat/>
    <w:uiPriority w:val="0"/>
    <w:pPr>
      <w:widowControl/>
      <w:spacing w:line="300" w:lineRule="atLeast"/>
      <w:jc w:val="left"/>
    </w:pPr>
    <w:rPr>
      <w:rFonts w:ascii="宋体" w:hAnsi="宋体"/>
      <w:kern w:val="0"/>
      <w:sz w:val="18"/>
    </w:rPr>
  </w:style>
  <w:style w:type="paragraph" w:customStyle="1" w:styleId="226">
    <w:name w:val="简单回函地址"/>
    <w:basedOn w:val="1"/>
    <w:qFormat/>
    <w:uiPriority w:val="0"/>
    <w:pPr>
      <w:adjustRightInd w:val="0"/>
      <w:snapToGrid w:val="0"/>
      <w:spacing w:line="360" w:lineRule="auto"/>
    </w:pPr>
    <w:rPr>
      <w:sz w:val="24"/>
    </w:rPr>
  </w:style>
  <w:style w:type="paragraph" w:customStyle="1" w:styleId="227">
    <w:name w:val="文档正文 Char Char Char Char Char"/>
    <w:basedOn w:val="1"/>
    <w:qFormat/>
    <w:uiPriority w:val="0"/>
    <w:pPr>
      <w:adjustRightInd w:val="0"/>
      <w:spacing w:line="440" w:lineRule="exact"/>
      <w:ind w:firstLine="420"/>
    </w:pPr>
    <w:rPr>
      <w:rFonts w:ascii="Arial Narrow" w:hAnsi="Arial Narrow"/>
      <w:kern w:val="0"/>
      <w:sz w:val="24"/>
    </w:rPr>
  </w:style>
  <w:style w:type="paragraph" w:customStyle="1" w:styleId="228">
    <w:name w:val="正文（首行不缩进）"/>
    <w:basedOn w:val="1"/>
    <w:qFormat/>
    <w:uiPriority w:val="0"/>
    <w:pPr>
      <w:autoSpaceDE w:val="0"/>
      <w:autoSpaceDN w:val="0"/>
      <w:adjustRightInd w:val="0"/>
      <w:spacing w:line="360" w:lineRule="auto"/>
      <w:jc w:val="left"/>
    </w:pPr>
    <w:rPr>
      <w:kern w:val="0"/>
      <w:sz w:val="21"/>
    </w:rPr>
  </w:style>
  <w:style w:type="paragraph" w:customStyle="1" w:styleId="229">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0">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231">
    <w:name w:val="表头样式"/>
    <w:basedOn w:val="1"/>
    <w:qFormat/>
    <w:uiPriority w:val="0"/>
    <w:pPr>
      <w:autoSpaceDE w:val="0"/>
      <w:autoSpaceDN w:val="0"/>
      <w:adjustRightInd w:val="0"/>
      <w:spacing w:line="360" w:lineRule="auto"/>
      <w:jc w:val="left"/>
    </w:pPr>
    <w:rPr>
      <w:b/>
      <w:kern w:val="0"/>
      <w:sz w:val="21"/>
    </w:rPr>
  </w:style>
  <w:style w:type="paragraph" w:customStyle="1" w:styleId="232">
    <w:name w:val="图片文字"/>
    <w:basedOn w:val="1"/>
    <w:qFormat/>
    <w:uiPriority w:val="0"/>
    <w:pPr>
      <w:spacing w:line="240" w:lineRule="atLeast"/>
      <w:jc w:val="center"/>
    </w:pPr>
    <w:rPr>
      <w:sz w:val="21"/>
    </w:rPr>
  </w:style>
  <w:style w:type="paragraph" w:customStyle="1" w:styleId="233">
    <w:name w:val="xl23"/>
    <w:basedOn w:val="1"/>
    <w:qFormat/>
    <w:uiPriority w:val="0"/>
    <w:pPr>
      <w:widowControl/>
      <w:spacing w:before="100" w:beforeAutospacing="1" w:after="100" w:afterAutospacing="1" w:line="360" w:lineRule="auto"/>
    </w:pPr>
    <w:rPr>
      <w:kern w:val="0"/>
      <w:sz w:val="24"/>
    </w:rPr>
  </w:style>
  <w:style w:type="paragraph" w:customStyle="1" w:styleId="234">
    <w:name w:val="附录3"/>
    <w:basedOn w:val="1"/>
    <w:qFormat/>
    <w:uiPriority w:val="0"/>
    <w:pPr>
      <w:tabs>
        <w:tab w:val="left" w:pos="851"/>
      </w:tabs>
      <w:ind w:left="425" w:hanging="425"/>
      <w:outlineLvl w:val="2"/>
    </w:pPr>
    <w:rPr>
      <w:rFonts w:eastAsia="黑体"/>
      <w:b/>
      <w:sz w:val="32"/>
    </w:rPr>
  </w:style>
  <w:style w:type="paragraph" w:customStyle="1" w:styleId="235">
    <w:name w:val="È±Ê¡ÎÄ±¾"/>
    <w:basedOn w:val="1"/>
    <w:qFormat/>
    <w:uiPriority w:val="0"/>
    <w:pPr>
      <w:widowControl/>
      <w:overflowPunct w:val="0"/>
      <w:autoSpaceDE w:val="0"/>
      <w:autoSpaceDN w:val="0"/>
      <w:adjustRightInd w:val="0"/>
      <w:jc w:val="left"/>
    </w:pPr>
    <w:rPr>
      <w:kern w:val="0"/>
      <w:sz w:val="24"/>
    </w:rPr>
  </w:style>
  <w:style w:type="paragraph" w:customStyle="1" w:styleId="236">
    <w:name w:val="首行缩进 1"/>
    <w:basedOn w:val="1"/>
    <w:qFormat/>
    <w:uiPriority w:val="0"/>
    <w:pPr>
      <w:spacing w:after="120" w:line="360" w:lineRule="auto"/>
      <w:ind w:firstLine="200" w:firstLineChars="200"/>
    </w:pPr>
    <w:rPr>
      <w:sz w:val="24"/>
    </w:rPr>
  </w:style>
  <w:style w:type="paragraph" w:customStyle="1" w:styleId="237">
    <w:name w:val="Char11"/>
    <w:basedOn w:val="1"/>
    <w:qFormat/>
    <w:uiPriority w:val="0"/>
    <w:pPr>
      <w:spacing w:line="240" w:lineRule="atLeast"/>
      <w:ind w:left="420" w:firstLine="420"/>
    </w:pPr>
    <w:rPr>
      <w:kern w:val="0"/>
      <w:sz w:val="21"/>
    </w:rPr>
  </w:style>
  <w:style w:type="paragraph" w:customStyle="1" w:styleId="23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40">
    <w:name w:val="样式1xz"/>
    <w:basedOn w:val="1"/>
    <w:qFormat/>
    <w:uiPriority w:val="0"/>
    <w:pPr>
      <w:tabs>
        <w:tab w:val="left" w:pos="1050"/>
        <w:tab w:val="right" w:leader="dot" w:pos="8296"/>
      </w:tabs>
    </w:pPr>
    <w:rPr>
      <w:caps/>
      <w:spacing w:val="20"/>
      <w:sz w:val="24"/>
    </w:rPr>
  </w:style>
  <w:style w:type="paragraph" w:customStyle="1" w:styleId="24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2">
    <w:name w:val="Char1"/>
    <w:basedOn w:val="1"/>
    <w:qFormat/>
    <w:uiPriority w:val="0"/>
    <w:rPr>
      <w:sz w:val="21"/>
    </w:rPr>
  </w:style>
  <w:style w:type="paragraph" w:customStyle="1" w:styleId="243">
    <w:name w:val="Note"/>
    <w:basedOn w:val="1"/>
    <w:qFormat/>
    <w:uiPriority w:val="0"/>
    <w:pPr>
      <w:pBdr>
        <w:top w:val="single" w:color="auto" w:sz="12" w:space="3"/>
        <w:bottom w:val="single" w:color="auto" w:sz="12" w:space="3"/>
      </w:pBdr>
      <w:spacing w:line="360" w:lineRule="auto"/>
    </w:pPr>
    <w:rPr>
      <w:sz w:val="24"/>
    </w:rPr>
  </w:style>
  <w:style w:type="paragraph" w:customStyle="1" w:styleId="244">
    <w:name w:val="Char Char Char Char Char Char Char Char Char Char Char Char Char Char Char Char"/>
    <w:basedOn w:val="1"/>
    <w:qFormat/>
    <w:uiPriority w:val="0"/>
    <w:pPr>
      <w:tabs>
        <w:tab w:val="left" w:pos="360"/>
      </w:tabs>
    </w:pPr>
    <w:rPr>
      <w:sz w:val="24"/>
    </w:rPr>
  </w:style>
  <w:style w:type="paragraph" w:customStyle="1" w:styleId="245">
    <w:name w:val="样式 宋体 五号 行距: 单倍行距"/>
    <w:basedOn w:val="1"/>
    <w:qFormat/>
    <w:uiPriority w:val="0"/>
    <w:pPr>
      <w:adjustRightInd w:val="0"/>
      <w:jc w:val="left"/>
    </w:pPr>
    <w:rPr>
      <w:rFonts w:ascii="宋体" w:hAnsi="宋体"/>
      <w:kern w:val="0"/>
      <w:sz w:val="21"/>
    </w:rPr>
  </w:style>
  <w:style w:type="paragraph" w:customStyle="1" w:styleId="246">
    <w:name w:val="操作步骤"/>
    <w:basedOn w:val="1"/>
    <w:qFormat/>
    <w:uiPriority w:val="0"/>
    <w:pPr>
      <w:numPr>
        <w:ilvl w:val="0"/>
        <w:numId w:val="12"/>
      </w:numPr>
      <w:autoSpaceDE w:val="0"/>
      <w:autoSpaceDN w:val="0"/>
      <w:adjustRightInd w:val="0"/>
      <w:snapToGrid w:val="0"/>
      <w:spacing w:line="40" w:lineRule="atLeast"/>
    </w:pPr>
    <w:rPr>
      <w:rFonts w:ascii="昆仑楷体" w:eastAsia="楷体_GB2312"/>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bt"/>
    <w:basedOn w:val="1"/>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49">
    <w:name w:val="图例"/>
    <w:basedOn w:val="1"/>
    <w:qFormat/>
    <w:uiPriority w:val="0"/>
    <w:pPr>
      <w:spacing w:before="120" w:after="120" w:line="360" w:lineRule="auto"/>
      <w:jc w:val="center"/>
    </w:pPr>
    <w:rPr>
      <w:rFonts w:eastAsia="仿宋_GB2312"/>
      <w:b/>
      <w:sz w:val="24"/>
    </w:rPr>
  </w:style>
  <w:style w:type="table" w:customStyle="1" w:styleId="250">
    <w:name w:val="Table Normal"/>
    <w:semiHidden/>
    <w:unhideWhenUsed/>
    <w:qFormat/>
    <w:uiPriority w:val="0"/>
    <w:tblPr>
      <w:tblCellMar>
        <w:top w:w="0" w:type="dxa"/>
        <w:left w:w="0" w:type="dxa"/>
        <w:bottom w:w="0" w:type="dxa"/>
        <w:right w:w="0" w:type="dxa"/>
      </w:tblCellMar>
    </w:tblPr>
  </w:style>
  <w:style w:type="paragraph" w:customStyle="1" w:styleId="251">
    <w:name w:val="标题 21"/>
    <w:basedOn w:val="34"/>
    <w:next w:val="34"/>
    <w:qFormat/>
    <w:uiPriority w:val="0"/>
    <w:pPr>
      <w:keepNext/>
      <w:keepLines/>
      <w:outlineLvl w:val="1"/>
    </w:pPr>
    <w:rPr>
      <w:rFonts w:ascii="Arial" w:hAnsi="Arial" w:eastAsia="黑体" w:cs="Arial"/>
      <w:b/>
      <w:sz w:val="32"/>
    </w:rPr>
  </w:style>
  <w:style w:type="paragraph" w:customStyle="1" w:styleId="252">
    <w:name w:val="Table Paragraph"/>
    <w:basedOn w:val="1"/>
    <w:qFormat/>
    <w:uiPriority w:val="1"/>
    <w:pPr>
      <w:jc w:val="left"/>
    </w:pPr>
    <w:rPr>
      <w:rFonts w:ascii="宋体" w:hAnsi="宋体" w:cs="宋体"/>
      <w:kern w:val="0"/>
      <w:lang w:eastAsia="en-US"/>
    </w:rPr>
  </w:style>
  <w:style w:type="paragraph" w:customStyle="1" w:styleId="2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4">
    <w:name w:val="电建正文"/>
    <w:basedOn w:val="255"/>
    <w:qFormat/>
    <w:uiPriority w:val="0"/>
    <w:pPr>
      <w:tabs>
        <w:tab w:val="left" w:pos="720"/>
      </w:tabs>
      <w:spacing w:line="360" w:lineRule="auto"/>
      <w:ind w:firstLine="200" w:firstLineChars="200"/>
    </w:pPr>
    <w:rPr>
      <w:rFonts w:ascii="Tahoma" w:hAnsi="Tahoma"/>
      <w:sz w:val="24"/>
    </w:rPr>
  </w:style>
  <w:style w:type="paragraph" w:customStyle="1" w:styleId="255">
    <w:name w:val="List First"/>
    <w:basedOn w:val="42"/>
    <w:next w:val="42"/>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11025</Words>
  <Characters>11669</Characters>
  <Lines>120</Lines>
  <Paragraphs>34</Paragraphs>
  <TotalTime>8</TotalTime>
  <ScaleCrop>false</ScaleCrop>
  <LinksUpToDate>false</LinksUpToDate>
  <CharactersWithSpaces>12129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2022-06-17T08:41:00Z</dcterms:created>
  <dc:creator>Administrator</dc:creator>
  <cp:lastModifiedBy>YBY</cp:lastModifiedBy>
  <cp:lastPrinted>2024-10-25T00:54:00Z</cp:lastPrinted>
  <dcterms:modified xsi:type="dcterms:W3CDTF">2025-09-24T06:48:12Z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EE7A2AB990FE4A879942CCA502723B1A</vt:lpwstr>
  </property>
  <property fmtid="{D5CDD505-2E9C-101B-9397-08002B2CF9AE}" pid="4" name="KSOTemplateDocerSaveRecord">
    <vt:lpwstr>eyJoZGlkIjoiOGMyZjdjMjA5Yzk2MGFmOWVlNTA5MTc1OGFiMzQwMzAiLCJ1c2VySWQiOiI1MDU5MTA3NDEifQ==</vt:lpwstr>
  </property>
</Properties>
</file>